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ascii="helvetica" w:hAnsi="helvetica" w:eastAsia="helvetica" w:cs="helvetica"/>
          <w:color w:val="444444"/>
          <w:sz w:val="16"/>
          <w:szCs w:val="16"/>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center"/>
        <w:rPr>
          <w:sz w:val="16"/>
          <w:szCs w:val="16"/>
        </w:rPr>
      </w:pPr>
      <w:r>
        <w:rPr>
          <w:rFonts w:ascii="黑体" w:hAnsi="宋体" w:eastAsia="黑体" w:cs="黑体"/>
          <w:color w:val="444444"/>
          <w:sz w:val="21"/>
          <w:szCs w:val="21"/>
        </w:rPr>
        <w:t>2019年宜昌市东山建设发展总公司招聘简章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宜昌市东山建设发展总公司为全民所有制企业，成立于1993年10月6日，注册资本为1000万元。现为宜昌高新区管理委员会区级建设平台。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宜昌市东山建设发展总公司作为高新区基础设施建设主体，主要承担高新区范围内所有财政投资项目的前期研究、建设及管理，为园区项目落地提供基础条件。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岗位设置：（提供两餐，工作地点：高新区白洋园区、东山园区）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1、综合管理部（2名）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任职条件：（35岁以下）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岗位1：办公室文员。本科及以上学历，要求中文、英文、新闻学、传播学、广告学等相关专业；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岗位2：资料管理员。本科及以上学历，要求档案、人力资源管理专业，从事人力资源管理岗位工作2年以上，熟悉行政管理、内部培训、绩效考核、劳动关系协调等工作，中国共产党党员优先。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岗位技能要求：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熟练使用办公室软件及相关的人事管理软件；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良好的语言表达能力和文字功底；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良好的组织、协调、沟通及执行能力；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④良好的冲突处理、时间管理和独立工作能力；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⑤较强的亲和力、工作责任心；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⑥熟悉国家、地区和企业关于用人机制、劳动关系处理、绩效考核、薪金制度、合同管理、保险福利待遇及培训政策；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负责党建工作；收、发文处理，用印流程；承办综合性公文、重要文稿、汇报材料的起草工作及公文处理；负责档案管理、公司日常事务、会议及后勤管理工作；绩效考核；宣传企业文化、员工培训；招聘管理，入、离职管理，证照管理；综合协调、协助处理突发事件；负责督办重要工作和领导交办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2、规划发展部（4名）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任职条件：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40岁以下，本科及以上学历，要求城市规划、土木工程、景观设计、建筑学、给排水工程、建筑电气与智能化、道路桥梁工程、工业与民用建筑、供热通风与空调工程或相关专业优先。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岗位技能要求：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①掌握城市规划学科的基本理论、基本知识；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②熟悉国家有关城市发展和城市规划的方针、政策和法规；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③掌握与城市规划相关的知识，具有综合分析城市规划问题、协调解决问题的能力；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④了解城市规划发展的理论前沿和发展动态；掌握文献检索、资料查询的基本方法，具有一定的科学研究和实际工作能力；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负责编制财政投资的城市基础设施、重点城市建设开发项目的中长期建设规划和年度计划；承担区级城建项目的统筹、策划和储备统计等工作；承担区级财政直接投资的城市基础设施、公共设施以及其它城市建设项目的可行性研究，技术、经济、安全、环保、民生方案设计、比选、项目报批等前期工作和城建相关课题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3、工程部项目技术负责人（8名）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任职资格：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40岁以下，本科及以上学历，城市规划、土木工程、景观设计、建筑学、给排水工程、建筑电气与智能化、道路桥梁工程、工业与民用建筑、供热通风与空调工程或相关专业；中级及以上专业技术职称或持有一、二级建造师证书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②具有3年及以上相关工作经验；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③具备较强的组织、沟通协调能力；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④5个以上的项目经历，其中在1-2个创优项目施工过程中担任项目经理一职。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⑤具有较强的工作责任心和良好的职业素养。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负责区级财政直接投资建设工程的组织实施；承担政府投资的示范性、应急性和重大城建项目的组织实施工作；建设工程安全管理及事故处理；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4、合同法务部、工程造价员（2名）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岗位1：合同法务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35岁以下，法律专业本科及以上学历；?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②5年以上法律相关工作经验，从事过法务部门管理者优先；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③具有较强的人际交往能力、领导能力、协调能力，?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④熟悉公司法、合同法、劳动法、建筑相关行业的法律、法规，具备良好的法律事务判断分析能力，有良好的外部事务的公关能力、谈判能力和技巧；?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⑤良好的职业道德和敬业精神，工作认真负责、严谨细致；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1、建立健全公司法律事务管理工作体系，全面负责全公司法律事务与和合约管理各项业务工作。?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2、开展法律、合同培训及普法宣传教育工作。?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3、负责全公司的法律文书管理工作。?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4、研究有关企业经营管理方面的法律法规，为公司重大经营活动涉及的法律事务及公司业务部门起草的各类规章制度提供法律咨询与建议。?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5、代表公司参加诉讼、调解和仲裁等活动，处理诉讼案件并对公司疑难案件处理和解决案件纠纷提供援助服务。?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6、进行法律纠纷案件统计、汇总、分析。?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7、建立完善公司合同管理制度，审核并牵头组织以公司名义签署的工程合同及其他各类合同、协议等法律文件的评审工作，提出法律专业意见。?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8、参与合同的洽谈工作，就合同内容提供法律意见，并对合同的订立、变更、执行、终止实行监督管理。?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9、负责全公司风险控制管理工作，协调各部门进行风险控制管理工作。?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岗位2：工程造价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①40岁以下，本科以上学历，要求工程管理、工程造价等专业，5年以上相关行业工作经验；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②中级以上职称，有造价员证，如果有注册造价师证优先录用；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③熟悉成本分析、标的、工程结算和施工现场的相关工作流程，熟练操作预算相关软件；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立项、可研、初设投资概算审核；预算清单、招标控制价审核；签证及变更预算审核；负责所有财政类项目建设工程招标投标活动（招标、采购、询价、竞谈）的监督管理；负责所有建设项目所有合同的编制、签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5、财务部（3名）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任职资格：（35岁以下）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①会计、财务管理等相关专业，本科及以上学历，具有会计师中级职称者优先考虑；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②三年以上房地产、建筑设计行业工作经验，有工程成本核算、控制相关工作经验；有资产管理工作经验；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③熟悉税务、财务相关法律法规，动态成本管理体系和会计核算流程；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④熟练操作相关财务软件，具有优秀的数据分析能力；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⑤具有较强的表达、沟通、适应和协调能力；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⑥具有良好的职业道德，人品正直，责任心强。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6" w:lineRule="atLeast"/>
        <w:ind w:left="0" w:right="0"/>
        <w:jc w:val="both"/>
        <w:rPr>
          <w:sz w:val="16"/>
          <w:szCs w:val="16"/>
        </w:rPr>
      </w:pPr>
      <w:r>
        <w:rPr>
          <w:rFonts w:hint="default" w:ascii="helvetica" w:hAnsi="helvetica" w:eastAsia="helvetica" w:cs="helvetica"/>
          <w:color w:val="444444"/>
          <w:sz w:val="16"/>
          <w:szCs w:val="16"/>
          <w:bdr w:val="none" w:color="auto" w:sz="0" w:space="0"/>
        </w:rPr>
        <w:t>　　资产管理;公司费用开支审批；工程款审批；会计业务处理；公司年报审计；工程竣工决算审计；接收审计（检查）；政策性补助资金申报；农民工工资问题处理。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16F55"/>
    <w:rsid w:val="4DA16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7">
    <w:name w:val="o2"/>
    <w:basedOn w:val="4"/>
    <w:uiPriority w:val="0"/>
    <w:rPr>
      <w:sz w:val="0"/>
      <w:szCs w:val="0"/>
    </w:rPr>
  </w:style>
  <w:style w:type="character" w:customStyle="1" w:styleId="8">
    <w:name w:val="o4"/>
    <w:basedOn w:val="4"/>
    <w:uiPriority w:val="0"/>
    <w:rPr>
      <w:sz w:val="0"/>
      <w:szCs w:val="0"/>
    </w:rPr>
  </w:style>
  <w:style w:type="character" w:customStyle="1" w:styleId="9">
    <w:name w:val="o1"/>
    <w:basedOn w:val="4"/>
    <w:uiPriority w:val="0"/>
    <w:rPr>
      <w:sz w:val="0"/>
      <w:szCs w:val="0"/>
    </w:rPr>
  </w:style>
  <w:style w:type="character" w:customStyle="1" w:styleId="10">
    <w:name w:val="o3"/>
    <w:basedOn w:val="4"/>
    <w:uiPriority w:val="0"/>
    <w:rPr>
      <w:sz w:val="0"/>
      <w:szCs w:val="0"/>
    </w:rPr>
  </w:style>
  <w:style w:type="character" w:customStyle="1" w:styleId="11">
    <w:name w:val="layui-this4"/>
    <w:basedOn w:val="4"/>
    <w:uiPriority w:val="0"/>
    <w:rPr>
      <w:bdr w:val="single" w:color="EEEEEE" w:sz="4" w:space="0"/>
      <w:shd w:val="clear" w:fill="FFFFFF"/>
    </w:rPr>
  </w:style>
  <w:style w:type="character" w:customStyle="1" w:styleId="12">
    <w:name w:val="tab"/>
    <w:basedOn w:val="4"/>
    <w:uiPriority w:val="0"/>
    <w:rPr>
      <w:color w:val="A4BCD6"/>
    </w:rPr>
  </w:style>
  <w:style w:type="character" w:customStyle="1" w:styleId="13">
    <w:name w:val="layui-laypage-curr"/>
    <w:basedOn w:val="4"/>
    <w:uiPriority w:val="0"/>
    <w:rPr>
      <w:bdr w:val="none" w:color="auto" w:sz="0" w:space="0"/>
    </w:rPr>
  </w:style>
  <w:style w:type="character" w:customStyle="1" w:styleId="14">
    <w:name w:val="hover50"/>
    <w:basedOn w:val="4"/>
    <w:uiPriority w:val="0"/>
    <w:rPr>
      <w:color w:val="5FB878"/>
    </w:rPr>
  </w:style>
  <w:style w:type="character" w:customStyle="1" w:styleId="15">
    <w:name w:val="hover51"/>
    <w:basedOn w:val="4"/>
    <w:uiPriority w:val="0"/>
    <w:rPr>
      <w:color w:val="5FB878"/>
    </w:rPr>
  </w:style>
  <w:style w:type="character" w:customStyle="1" w:styleId="16">
    <w:name w:val="hover52"/>
    <w:basedOn w:val="4"/>
    <w:uiPriority w:val="0"/>
    <w:rPr>
      <w:color w:val="FFFFFF"/>
    </w:rPr>
  </w:style>
  <w:style w:type="character" w:customStyle="1" w:styleId="17">
    <w:name w:val="first-child"/>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2019-07-29T02:52:00Z</dcterms:created>
  <dc:creator>张翠</dc:creator>
  <cp:lastModifiedBy>张翠</cp:lastModifiedBy>
  <dcterms:modified xsi:type="dcterms:W3CDTF">2019-07-29T02:52:28Z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