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  <w:bdr w:val="none" w:color="auto" w:sz="0" w:space="0"/>
          <w:shd w:val="clear" w:fill="FFFFFF"/>
        </w:rPr>
        <w:t>恩施高中公开招聘工作人员笔试成绩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7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492"/>
        <w:gridCol w:w="902"/>
        <w:gridCol w:w="1127"/>
        <w:gridCol w:w="1377"/>
        <w:gridCol w:w="1077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综合应用能力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职业能力倾向测验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笔试最后成绩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（总分100分）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（总分100分）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（两项平均分）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190725002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心理教师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190725008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57.5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190725007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55.5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190725001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53.25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190725004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50.5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190725009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47.5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190725011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46.5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190725005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190725012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43.5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190725010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190725013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190725003</w:t>
            </w:r>
          </w:p>
        </w:tc>
        <w:tc>
          <w:tcPr>
            <w:tcW w:w="9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0809"/>
    <w:rsid w:val="6BB50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2019-07-26T03:42:00Z</dcterms:created>
  <dc:creator>ASUS</dc:creator>
  <cp:lastModifiedBy>ASUS</cp:lastModifiedBy>
  <dcterms:modified xsi:type="dcterms:W3CDTF">2019-07-26T03:42:53Z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