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黑体;" w:hAnsi="黑体;" w:eastAsia="黑体;" w:cs="黑体;"/>
          <w:b/>
          <w:i w:val="0"/>
          <w:caps w:val="0"/>
          <w:color w:val="111111"/>
          <w:spacing w:val="0"/>
          <w:sz w:val="30"/>
          <w:szCs w:val="30"/>
          <w:bdr w:val="none" w:color="auto" w:sz="0" w:space="0"/>
          <w:shd w:val="clear" w:fill="FFFFFF"/>
        </w:rPr>
        <w:t>福建第二轻工业学校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招聘岗位及要求：</w:t>
      </w:r>
    </w:p>
    <w:tbl>
      <w:tblPr>
        <w:tblW w:w="9238" w:type="dxa"/>
        <w:jc w:val="center"/>
        <w:tblInd w:w="-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2"/>
        <w:gridCol w:w="1472"/>
        <w:gridCol w:w="765"/>
        <w:gridCol w:w="2580"/>
        <w:gridCol w:w="2010"/>
        <w:gridCol w:w="1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中餐烹饪专业实习指导教师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5" w:beforeAutospacing="0" w:after="125" w:afterAutospacing="0" w:line="360" w:lineRule="atLeast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烹饪与营养教育、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5" w:beforeAutospacing="0" w:after="125" w:afterAutospacing="0" w:line="360" w:lineRule="atLeast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烹饪工艺与营养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取得人力资源和社会保障部门颁发的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中餐烹饪专业的高级工及以上职业资格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1" w:hRule="atLeast"/>
          <w:jc w:val="center"/>
        </w:trPr>
        <w:tc>
          <w:tcPr>
            <w:tcW w:w="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商贸财经专业教学部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电子商务、物流管理、计算机科学与技术、计算机与经济管理、计算机办公应用（技术）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7" w:hRule="atLeast"/>
          <w:jc w:val="center"/>
        </w:trPr>
        <w:tc>
          <w:tcPr>
            <w:tcW w:w="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信息机电专业教学部实训管理员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计算机网络技术、计算机应用技术、计算机网络与安全管理、网络系统管理、网络工程、物联网工程、计算机科学与技术、电子信息科学与技术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土建类专业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全日制普通高等院校大学专科及以上学历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熟练使用CAD、办公操作软件等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;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64DF5"/>
    <w:rsid w:val="7B364D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2019-07-19T04:02:00Z</dcterms:created>
  <dc:creator>ASUS</dc:creator>
  <cp:lastModifiedBy>ASUS</cp:lastModifiedBy>
  <dcterms:modified xsi:type="dcterms:W3CDTF">2019-07-19T04:02:17Z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