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4272B"/>
          <w:spacing w:val="0"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4272B"/>
          <w:spacing w:val="0"/>
          <w:sz w:val="28"/>
          <w:szCs w:val="28"/>
          <w:bdr w:val="none" w:color="auto" w:sz="0" w:space="0"/>
        </w:rPr>
        <w:t>深圳市龙岗区耳鼻咽喉医院招聘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4272B"/>
          <w:spacing w:val="0"/>
          <w:sz w:val="28"/>
          <w:szCs w:val="28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24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6"/>
        <w:gridCol w:w="589"/>
        <w:gridCol w:w="589"/>
        <w:gridCol w:w="589"/>
        <w:gridCol w:w="1302"/>
        <w:gridCol w:w="714"/>
        <w:gridCol w:w="589"/>
        <w:gridCol w:w="589"/>
        <w:gridCol w:w="27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需求人数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最高年龄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专业范围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最低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最低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与岗位有关的其他要求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麻醉师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临床医学；麻醉学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本科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学士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医师 </w:t>
            </w:r>
          </w:p>
        </w:tc>
        <w:tc>
          <w:tcPr>
            <w:tcW w:w="2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全日制普通高等教育学历；具有执业医师资格。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影像医师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医学影像学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本科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学士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医师 </w:t>
            </w:r>
          </w:p>
        </w:tc>
        <w:tc>
          <w:tcPr>
            <w:tcW w:w="2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全日制普通高等教育学历；具有执业医师资格。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研究所研究员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生物工程；临床医学；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生物医学工程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研究生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博士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全日制普通高等教育学历；具有研究机构基础研究经历或耳鼻咽喉领域应用研究经历。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财务人员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财务会计类；会计学；财务管理；财政学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本科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学士 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初级会计师 </w:t>
            </w:r>
          </w:p>
        </w:tc>
        <w:tc>
          <w:tcPr>
            <w:tcW w:w="2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全日制普通高等教育学历；具有财务相关工作经历。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20F0"/>
    <w:rsid w:val="5D6F2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2019-07-08T09:11:00Z</dcterms:created>
  <dc:creator>ASUS</dc:creator>
  <cp:lastModifiedBy>ASUS</cp:lastModifiedBy>
  <dcterms:modified xsi:type="dcterms:W3CDTF">2019-07-08T09:11:35Z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