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06"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blCellSpacing w:w="0" w:type="dxa"/>
        </w:trPr>
        <w:tc>
          <w:tcPr>
            <w:tcW w:w="830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480" w:lineRule="atLeast"/>
              <w:ind w:left="0" w:right="0" w:firstLine="420"/>
              <w:jc w:val="center"/>
            </w:pPr>
            <w:r>
              <w:rPr>
                <w:rFonts w:hint="eastAsia" w:ascii="宋体" w:hAnsi="宋体" w:eastAsia="宋体" w:cs="宋体"/>
                <w:i w:val="0"/>
                <w:caps w:val="0"/>
                <w:color w:val="000000"/>
                <w:spacing w:val="0"/>
                <w:sz w:val="24"/>
                <w:szCs w:val="24"/>
                <w:u w:val="none"/>
                <w:bdr w:val="none" w:color="auto" w:sz="0" w:space="0"/>
              </w:rPr>
              <w:t>河南省疾病预防控制中心</w:t>
            </w:r>
          </w:p>
          <w:p>
            <w:pPr>
              <w:pStyle w:val="2"/>
              <w:keepNext w:val="0"/>
              <w:keepLines w:val="0"/>
              <w:widowControl/>
              <w:suppressLineNumbers w:val="0"/>
              <w:spacing w:before="0" w:beforeAutospacing="0" w:after="0" w:afterAutospacing="0" w:line="480" w:lineRule="atLeast"/>
              <w:ind w:left="0" w:right="0" w:firstLine="420"/>
              <w:jc w:val="center"/>
            </w:pPr>
            <w:r>
              <w:rPr>
                <w:rFonts w:hint="eastAsia" w:ascii="宋体" w:hAnsi="宋体" w:eastAsia="宋体" w:cs="宋体"/>
                <w:i w:val="0"/>
                <w:caps w:val="0"/>
                <w:color w:val="000000"/>
                <w:spacing w:val="0"/>
                <w:sz w:val="24"/>
                <w:szCs w:val="24"/>
                <w:u w:val="none"/>
                <w:bdr w:val="none" w:color="auto" w:sz="0" w:space="0"/>
              </w:rPr>
              <w:t>2019年公开招聘工作人员方案</w:t>
            </w:r>
          </w:p>
          <w:p>
            <w:pPr>
              <w:pStyle w:val="2"/>
              <w:keepNext w:val="0"/>
              <w:keepLines w:val="0"/>
              <w:widowControl/>
              <w:suppressLineNumbers w:val="0"/>
              <w:spacing w:before="0" w:beforeAutospacing="0" w:after="0" w:afterAutospacing="0" w:line="480" w:lineRule="atLeast"/>
              <w:ind w:left="0" w:right="0" w:firstLine="420"/>
            </w:pPr>
            <w:r>
              <w:rPr>
                <w:rFonts w:hint="eastAsia" w:ascii="宋体" w:hAnsi="宋体" w:eastAsia="宋体" w:cs="宋体"/>
                <w:i w:val="0"/>
                <w:caps w:val="0"/>
                <w:color w:val="000000"/>
                <w:spacing w:val="0"/>
                <w:sz w:val="24"/>
                <w:szCs w:val="24"/>
                <w:u w:val="none"/>
                <w:bdr w:val="none" w:color="auto" w:sz="0" w:space="0"/>
              </w:rPr>
              <w:t>根据《河南省事业单位公开招聘工作规程》（豫人社〔2015〕55号）规定，我中心拟面向社会公开招聘工作人员34名，结合单位工作实际，制定本实施方案。</w:t>
            </w:r>
          </w:p>
          <w:p>
            <w:pPr>
              <w:pStyle w:val="2"/>
              <w:keepNext w:val="0"/>
              <w:keepLines w:val="0"/>
              <w:widowControl/>
              <w:suppressLineNumbers w:val="0"/>
              <w:spacing w:before="0" w:beforeAutospacing="0" w:after="0" w:afterAutospacing="0" w:line="480" w:lineRule="atLeast"/>
              <w:ind w:left="0" w:right="0" w:firstLine="420"/>
            </w:pPr>
            <w:r>
              <w:rPr>
                <w:rFonts w:hint="eastAsia" w:ascii="宋体" w:hAnsi="宋体" w:eastAsia="宋体" w:cs="宋体"/>
                <w:i w:val="0"/>
                <w:caps w:val="0"/>
                <w:color w:val="000000"/>
                <w:spacing w:val="0"/>
                <w:sz w:val="24"/>
                <w:szCs w:val="24"/>
                <w:u w:val="none"/>
                <w:bdr w:val="none" w:color="auto" w:sz="0" w:space="0"/>
              </w:rPr>
              <w:t>一、中心简介</w:t>
            </w:r>
          </w:p>
          <w:p>
            <w:pPr>
              <w:pStyle w:val="2"/>
              <w:keepNext w:val="0"/>
              <w:keepLines w:val="0"/>
              <w:widowControl/>
              <w:suppressLineNumbers w:val="0"/>
              <w:spacing w:before="0" w:beforeAutospacing="0" w:after="0" w:afterAutospacing="0" w:line="480" w:lineRule="atLeast"/>
              <w:ind w:left="0" w:right="0" w:firstLine="420"/>
              <w:jc w:val="left"/>
            </w:pPr>
            <w:r>
              <w:rPr>
                <w:rFonts w:hint="eastAsia" w:ascii="宋体" w:hAnsi="宋体" w:eastAsia="宋体" w:cs="宋体"/>
                <w:i w:val="0"/>
                <w:caps w:val="0"/>
                <w:color w:val="000000"/>
                <w:spacing w:val="0"/>
                <w:sz w:val="24"/>
                <w:szCs w:val="24"/>
                <w:u w:val="none"/>
                <w:bdr w:val="none" w:color="auto" w:sz="0" w:space="0"/>
              </w:rPr>
              <w:t>河南省疾病预防控制中心是2003年经河南省机构编制委员会批准成立的实行全额预算管理的副厅级事业单位。中心内设行政管理机构6个、业务机构9个。</w:t>
            </w:r>
          </w:p>
          <w:p>
            <w:pPr>
              <w:pStyle w:val="2"/>
              <w:keepNext w:val="0"/>
              <w:keepLines w:val="0"/>
              <w:widowControl/>
              <w:suppressLineNumbers w:val="0"/>
              <w:spacing w:before="0" w:beforeAutospacing="0" w:after="0" w:afterAutospacing="0" w:line="480" w:lineRule="atLeast"/>
              <w:ind w:left="0" w:right="0" w:firstLine="420"/>
              <w:jc w:val="left"/>
            </w:pPr>
            <w:r>
              <w:rPr>
                <w:rFonts w:hint="eastAsia" w:ascii="宋体" w:hAnsi="宋体" w:eastAsia="宋体" w:cs="宋体"/>
                <w:i w:val="0"/>
                <w:caps w:val="0"/>
                <w:color w:val="000000"/>
                <w:spacing w:val="0"/>
                <w:sz w:val="24"/>
                <w:szCs w:val="24"/>
                <w:u w:val="none"/>
                <w:bdr w:val="none" w:color="auto" w:sz="0" w:space="0"/>
              </w:rPr>
              <w:t>主要任务：负责开展传染病、寄生虫病、慢性非传染疾病等重大疾病的流行病学监测，制定并实施预防控制对策；进行与疾病预防控制有关的环境、学校卫生等卫生学监测；参与疾病预防控制和公共卫生相关法律、法规、政策、标准、规划等的制订；参与调查处理重大传染病疫情、不明原因疾病以及其它突发公共卫生事件等重大公共卫生问题；实施预防接种，负责预防用生物制品的使用和管理；负责有关人员技术培训和技术指导；开展健康教育和健康促进；承担相关卫生检验、鉴定、技术审核和卫生学评价；开展疾病预防控制科学研究和对外交流；承担疾病预防控制及有关公共卫生信息的报告、管理及预测、预报；向社会提供相关的预防保健信息、咨询服务等。</w:t>
            </w:r>
          </w:p>
          <w:p>
            <w:pPr>
              <w:pStyle w:val="2"/>
              <w:keepNext w:val="0"/>
              <w:keepLines w:val="0"/>
              <w:widowControl/>
              <w:suppressLineNumbers w:val="0"/>
              <w:spacing w:before="0" w:beforeAutospacing="0" w:after="0" w:afterAutospacing="0" w:line="480" w:lineRule="atLeast"/>
              <w:ind w:left="0" w:right="0" w:firstLine="420"/>
            </w:pPr>
            <w:r>
              <w:rPr>
                <w:rFonts w:hint="eastAsia" w:ascii="宋体" w:hAnsi="宋体" w:eastAsia="宋体" w:cs="宋体"/>
                <w:i w:val="0"/>
                <w:caps w:val="0"/>
                <w:color w:val="000000"/>
                <w:spacing w:val="0"/>
                <w:sz w:val="24"/>
                <w:szCs w:val="24"/>
                <w:u w:val="none"/>
                <w:bdr w:val="none" w:color="auto" w:sz="0" w:space="0"/>
              </w:rPr>
              <w:t>二、公开招聘工作组织领导</w:t>
            </w:r>
          </w:p>
          <w:p>
            <w:pPr>
              <w:pStyle w:val="2"/>
              <w:keepNext w:val="0"/>
              <w:keepLines w:val="0"/>
              <w:widowControl/>
              <w:suppressLineNumbers w:val="0"/>
              <w:spacing w:before="0" w:beforeAutospacing="0" w:after="0" w:afterAutospacing="0" w:line="480" w:lineRule="atLeast"/>
              <w:ind w:left="0" w:right="0" w:firstLine="420"/>
            </w:pPr>
            <w:r>
              <w:rPr>
                <w:rFonts w:hint="eastAsia" w:ascii="宋体" w:hAnsi="宋体" w:eastAsia="宋体" w:cs="宋体"/>
                <w:i w:val="0"/>
                <w:caps w:val="0"/>
                <w:color w:val="000000"/>
                <w:spacing w:val="0"/>
                <w:sz w:val="24"/>
                <w:szCs w:val="24"/>
                <w:u w:val="none"/>
                <w:bdr w:val="none" w:color="auto" w:sz="0" w:space="0"/>
              </w:rPr>
              <w:t>河南省疾病预防控制中心成立由主要领导为组长、班子领导为成员的公开招聘领导小组。领导小组下设办公室，分管人事领导任办公室主任，工作人员由人事处、纪检监察室等相关部门组成。</w:t>
            </w:r>
          </w:p>
          <w:p>
            <w:pPr>
              <w:pStyle w:val="2"/>
              <w:keepNext w:val="0"/>
              <w:keepLines w:val="0"/>
              <w:widowControl/>
              <w:suppressLineNumbers w:val="0"/>
              <w:spacing w:before="0" w:beforeAutospacing="0" w:after="0" w:afterAutospacing="0" w:line="480" w:lineRule="atLeast"/>
              <w:ind w:left="0" w:right="0" w:firstLine="420"/>
            </w:pPr>
            <w:r>
              <w:rPr>
                <w:rFonts w:hint="eastAsia" w:ascii="宋体" w:hAnsi="宋体" w:eastAsia="宋体" w:cs="宋体"/>
                <w:i w:val="0"/>
                <w:caps w:val="0"/>
                <w:color w:val="000000"/>
                <w:spacing w:val="0"/>
                <w:sz w:val="24"/>
                <w:szCs w:val="24"/>
                <w:u w:val="none"/>
                <w:bdr w:val="none" w:color="auto" w:sz="0" w:space="0"/>
              </w:rPr>
              <w:t>三、招聘岗位、专业及人数</w:t>
            </w:r>
          </w:p>
          <w:p>
            <w:pPr>
              <w:pStyle w:val="2"/>
              <w:keepNext w:val="0"/>
              <w:keepLines w:val="0"/>
              <w:widowControl/>
              <w:suppressLineNumbers w:val="0"/>
              <w:spacing w:before="0" w:beforeAutospacing="0" w:after="0" w:afterAutospacing="0" w:line="480" w:lineRule="atLeast"/>
              <w:ind w:left="0" w:right="0" w:firstLine="420"/>
            </w:pPr>
            <w:r>
              <w:rPr>
                <w:rFonts w:hint="eastAsia" w:ascii="宋体" w:hAnsi="宋体" w:eastAsia="宋体" w:cs="宋体"/>
                <w:i w:val="0"/>
                <w:caps w:val="0"/>
                <w:color w:val="000000"/>
                <w:spacing w:val="0"/>
                <w:sz w:val="24"/>
                <w:szCs w:val="24"/>
                <w:u w:val="none"/>
                <w:bdr w:val="none" w:color="auto" w:sz="0" w:space="0"/>
              </w:rPr>
              <w:t>详见《河南省疾病预防控制中心公开招聘工作人员一览表》（附件1）。</w:t>
            </w:r>
          </w:p>
          <w:p>
            <w:pPr>
              <w:pStyle w:val="2"/>
              <w:keepNext w:val="0"/>
              <w:keepLines w:val="0"/>
              <w:widowControl/>
              <w:suppressLineNumbers w:val="0"/>
              <w:spacing w:before="0" w:beforeAutospacing="0" w:after="0" w:afterAutospacing="0" w:line="480" w:lineRule="atLeast"/>
              <w:ind w:left="0" w:right="0" w:firstLine="420"/>
            </w:pPr>
            <w:r>
              <w:rPr>
                <w:rFonts w:hint="eastAsia" w:ascii="宋体" w:hAnsi="宋体" w:eastAsia="宋体" w:cs="宋体"/>
                <w:i w:val="0"/>
                <w:caps w:val="0"/>
                <w:color w:val="000000"/>
                <w:spacing w:val="0"/>
                <w:sz w:val="24"/>
                <w:szCs w:val="24"/>
                <w:u w:val="none"/>
                <w:bdr w:val="none" w:color="auto" w:sz="0" w:space="0"/>
              </w:rPr>
              <w:t>四、招聘条件</w:t>
            </w:r>
          </w:p>
          <w:p>
            <w:pPr>
              <w:pStyle w:val="2"/>
              <w:keepNext w:val="0"/>
              <w:keepLines w:val="0"/>
              <w:widowControl/>
              <w:suppressLineNumbers w:val="0"/>
              <w:spacing w:before="0" w:beforeAutospacing="0" w:after="0" w:afterAutospacing="0" w:line="480" w:lineRule="atLeast"/>
              <w:ind w:left="0" w:right="0" w:firstLine="420"/>
              <w:jc w:val="left"/>
            </w:pPr>
            <w:r>
              <w:rPr>
                <w:rFonts w:hint="eastAsia" w:ascii="宋体" w:hAnsi="宋体" w:eastAsia="宋体" w:cs="宋体"/>
                <w:i w:val="0"/>
                <w:caps w:val="0"/>
                <w:color w:val="000000"/>
                <w:spacing w:val="0"/>
                <w:sz w:val="24"/>
                <w:szCs w:val="24"/>
                <w:u w:val="none"/>
                <w:bdr w:val="none" w:color="auto" w:sz="0" w:space="0"/>
              </w:rPr>
              <w:t>（一）应聘人员必须具备的基本条件：</w:t>
            </w:r>
          </w:p>
          <w:p>
            <w:pPr>
              <w:pStyle w:val="2"/>
              <w:keepNext w:val="0"/>
              <w:keepLines w:val="0"/>
              <w:widowControl/>
              <w:suppressLineNumbers w:val="0"/>
              <w:spacing w:before="0" w:beforeAutospacing="0" w:after="0" w:afterAutospacing="0" w:line="480" w:lineRule="atLeast"/>
              <w:ind w:left="0" w:right="0" w:firstLine="420"/>
            </w:pPr>
            <w:r>
              <w:rPr>
                <w:rFonts w:hint="eastAsia" w:ascii="宋体" w:hAnsi="宋体" w:eastAsia="宋体" w:cs="宋体"/>
                <w:i w:val="0"/>
                <w:caps w:val="0"/>
                <w:color w:val="000000"/>
                <w:spacing w:val="0"/>
                <w:sz w:val="24"/>
                <w:szCs w:val="24"/>
                <w:u w:val="none"/>
                <w:bdr w:val="none" w:color="auto" w:sz="0" w:space="0"/>
              </w:rPr>
              <w:t>1.具有中华人民共和国国籍；</w:t>
            </w:r>
          </w:p>
          <w:p>
            <w:pPr>
              <w:pStyle w:val="2"/>
              <w:keepNext w:val="0"/>
              <w:keepLines w:val="0"/>
              <w:widowControl/>
              <w:suppressLineNumbers w:val="0"/>
              <w:spacing w:before="0" w:beforeAutospacing="0" w:after="0" w:afterAutospacing="0" w:line="480" w:lineRule="atLeast"/>
              <w:ind w:left="0" w:right="0" w:firstLine="420"/>
            </w:pPr>
            <w:r>
              <w:rPr>
                <w:rFonts w:hint="eastAsia" w:ascii="宋体" w:hAnsi="宋体" w:eastAsia="宋体" w:cs="宋体"/>
                <w:i w:val="0"/>
                <w:caps w:val="0"/>
                <w:color w:val="000000"/>
                <w:spacing w:val="0"/>
                <w:sz w:val="24"/>
                <w:szCs w:val="24"/>
                <w:u w:val="none"/>
                <w:bdr w:val="none" w:color="auto" w:sz="0" w:space="0"/>
              </w:rPr>
              <w:t>2.拥护中华人民共和国宪法，拥护党的方针政策；</w:t>
            </w:r>
          </w:p>
          <w:p>
            <w:pPr>
              <w:pStyle w:val="2"/>
              <w:keepNext w:val="0"/>
              <w:keepLines w:val="0"/>
              <w:widowControl/>
              <w:suppressLineNumbers w:val="0"/>
              <w:spacing w:before="0" w:beforeAutospacing="0" w:after="0" w:afterAutospacing="0" w:line="480" w:lineRule="atLeast"/>
              <w:ind w:left="0" w:right="0" w:firstLine="420"/>
            </w:pPr>
            <w:r>
              <w:rPr>
                <w:rFonts w:hint="eastAsia" w:ascii="宋体" w:hAnsi="宋体" w:eastAsia="宋体" w:cs="宋体"/>
                <w:i w:val="0"/>
                <w:caps w:val="0"/>
                <w:color w:val="000000"/>
                <w:spacing w:val="0"/>
                <w:sz w:val="24"/>
                <w:szCs w:val="24"/>
                <w:u w:val="none"/>
                <w:bdr w:val="none" w:color="auto" w:sz="0" w:space="0"/>
              </w:rPr>
              <w:t>3.遵守法律法规，品行端正、热爱拟招聘岗位工作；</w:t>
            </w:r>
          </w:p>
          <w:p>
            <w:pPr>
              <w:pStyle w:val="2"/>
              <w:keepNext w:val="0"/>
              <w:keepLines w:val="0"/>
              <w:widowControl/>
              <w:suppressLineNumbers w:val="0"/>
              <w:spacing w:before="0" w:beforeAutospacing="0" w:after="0" w:afterAutospacing="0" w:line="480" w:lineRule="atLeast"/>
              <w:ind w:left="0" w:right="0" w:firstLine="420"/>
            </w:pPr>
            <w:r>
              <w:rPr>
                <w:rFonts w:hint="eastAsia" w:ascii="宋体" w:hAnsi="宋体" w:eastAsia="宋体" w:cs="宋体"/>
                <w:i w:val="0"/>
                <w:caps w:val="0"/>
                <w:color w:val="000000"/>
                <w:spacing w:val="0"/>
                <w:sz w:val="24"/>
                <w:szCs w:val="24"/>
                <w:u w:val="none"/>
                <w:bdr w:val="none" w:color="auto" w:sz="0" w:space="0"/>
              </w:rPr>
              <w:t>4.身体健康；</w:t>
            </w:r>
          </w:p>
          <w:p>
            <w:pPr>
              <w:pStyle w:val="2"/>
              <w:keepNext w:val="0"/>
              <w:keepLines w:val="0"/>
              <w:widowControl/>
              <w:suppressLineNumbers w:val="0"/>
              <w:spacing w:before="0" w:beforeAutospacing="0" w:after="0" w:afterAutospacing="0" w:line="480" w:lineRule="atLeast"/>
              <w:ind w:left="0" w:right="0" w:firstLine="420"/>
            </w:pPr>
            <w:r>
              <w:rPr>
                <w:rFonts w:hint="eastAsia" w:ascii="宋体" w:hAnsi="宋体" w:eastAsia="宋体" w:cs="宋体"/>
                <w:i w:val="0"/>
                <w:caps w:val="0"/>
                <w:color w:val="000000"/>
                <w:spacing w:val="0"/>
                <w:sz w:val="24"/>
                <w:szCs w:val="24"/>
                <w:u w:val="none"/>
                <w:bdr w:val="none" w:color="auto" w:sz="0" w:space="0"/>
              </w:rPr>
              <w:t>5.国家承认学历的择业期内的高校毕业生；</w:t>
            </w:r>
          </w:p>
          <w:p>
            <w:pPr>
              <w:pStyle w:val="2"/>
              <w:keepNext w:val="0"/>
              <w:keepLines w:val="0"/>
              <w:widowControl/>
              <w:suppressLineNumbers w:val="0"/>
              <w:spacing w:before="0" w:beforeAutospacing="0" w:after="0" w:afterAutospacing="0" w:line="480" w:lineRule="atLeast"/>
              <w:ind w:left="0" w:right="0" w:firstLine="420"/>
            </w:pPr>
            <w:r>
              <w:rPr>
                <w:rFonts w:hint="eastAsia" w:ascii="宋体" w:hAnsi="宋体" w:eastAsia="宋体" w:cs="宋体"/>
                <w:i w:val="0"/>
                <w:caps w:val="0"/>
                <w:color w:val="000000"/>
                <w:spacing w:val="0"/>
                <w:sz w:val="24"/>
                <w:szCs w:val="24"/>
                <w:u w:val="none"/>
                <w:bdr w:val="none" w:color="auto" w:sz="0" w:space="0"/>
              </w:rPr>
              <w:t>6.岗位所需要的其他条件。</w:t>
            </w:r>
          </w:p>
          <w:p>
            <w:pPr>
              <w:pStyle w:val="2"/>
              <w:keepNext w:val="0"/>
              <w:keepLines w:val="0"/>
              <w:widowControl/>
              <w:suppressLineNumbers w:val="0"/>
              <w:spacing w:before="0" w:beforeAutospacing="0" w:after="0" w:afterAutospacing="0" w:line="480" w:lineRule="atLeast"/>
              <w:ind w:left="0" w:right="0" w:firstLine="420"/>
            </w:pPr>
            <w:r>
              <w:rPr>
                <w:rFonts w:hint="eastAsia" w:ascii="宋体" w:hAnsi="宋体" w:eastAsia="宋体" w:cs="宋体"/>
                <w:i w:val="0"/>
                <w:caps w:val="0"/>
                <w:color w:val="000000"/>
                <w:spacing w:val="0"/>
                <w:sz w:val="24"/>
                <w:szCs w:val="24"/>
                <w:u w:val="none"/>
                <w:bdr w:val="none" w:color="auto" w:sz="0" w:space="0"/>
              </w:rPr>
              <w:t>（二）有以下情形之一的不得报名应聘：</w:t>
            </w:r>
          </w:p>
          <w:p>
            <w:pPr>
              <w:pStyle w:val="2"/>
              <w:keepNext w:val="0"/>
              <w:keepLines w:val="0"/>
              <w:widowControl/>
              <w:suppressLineNumbers w:val="0"/>
              <w:spacing w:before="0" w:beforeAutospacing="0" w:after="0" w:afterAutospacing="0" w:line="480" w:lineRule="atLeast"/>
              <w:ind w:left="0" w:right="0" w:firstLine="420"/>
            </w:pPr>
            <w:r>
              <w:rPr>
                <w:rFonts w:hint="eastAsia" w:ascii="宋体" w:hAnsi="宋体" w:eastAsia="宋体" w:cs="宋体"/>
                <w:i w:val="0"/>
                <w:caps w:val="0"/>
                <w:color w:val="000000"/>
                <w:spacing w:val="0"/>
                <w:sz w:val="24"/>
                <w:szCs w:val="24"/>
                <w:u w:val="none"/>
                <w:bdr w:val="none" w:color="auto" w:sz="0" w:space="0"/>
              </w:rPr>
              <w:t>1.刑事处罚期限未满或者涉嫌违法犯罪正在接受调查的人员；</w:t>
            </w:r>
          </w:p>
          <w:p>
            <w:pPr>
              <w:pStyle w:val="2"/>
              <w:keepNext w:val="0"/>
              <w:keepLines w:val="0"/>
              <w:widowControl/>
              <w:suppressLineNumbers w:val="0"/>
              <w:spacing w:before="0" w:beforeAutospacing="0" w:after="0" w:afterAutospacing="0" w:line="480" w:lineRule="atLeast"/>
              <w:ind w:left="0" w:right="0" w:firstLine="420"/>
            </w:pPr>
            <w:r>
              <w:rPr>
                <w:rFonts w:hint="eastAsia" w:ascii="宋体" w:hAnsi="宋体" w:eastAsia="宋体" w:cs="宋体"/>
                <w:i w:val="0"/>
                <w:caps w:val="0"/>
                <w:color w:val="000000"/>
                <w:spacing w:val="0"/>
                <w:sz w:val="24"/>
                <w:szCs w:val="24"/>
                <w:u w:val="none"/>
                <w:bdr w:val="none" w:color="auto" w:sz="0" w:space="0"/>
              </w:rPr>
              <w:t>2.尚未解除党纪、政纪处分或正在接受纪律审查的人员；</w:t>
            </w:r>
          </w:p>
          <w:p>
            <w:pPr>
              <w:pStyle w:val="2"/>
              <w:keepNext w:val="0"/>
              <w:keepLines w:val="0"/>
              <w:widowControl/>
              <w:suppressLineNumbers w:val="0"/>
              <w:spacing w:before="0" w:beforeAutospacing="0" w:after="0" w:afterAutospacing="0" w:line="480" w:lineRule="atLeast"/>
              <w:ind w:left="0" w:right="0" w:firstLine="420"/>
            </w:pPr>
            <w:r>
              <w:rPr>
                <w:rFonts w:hint="eastAsia" w:ascii="宋体" w:hAnsi="宋体" w:eastAsia="宋体" w:cs="宋体"/>
                <w:i w:val="0"/>
                <w:caps w:val="0"/>
                <w:color w:val="000000"/>
                <w:spacing w:val="0"/>
                <w:sz w:val="24"/>
                <w:szCs w:val="24"/>
                <w:u w:val="none"/>
                <w:bdr w:val="none" w:color="auto" w:sz="0" w:space="0"/>
              </w:rPr>
              <w:t>3.曾在公务员招录、事业单位公开招聘考试中被认定有舞弊等严重违反招聘纪律行为人员5年内不得参加本省内各级事业单位公开招聘；</w:t>
            </w:r>
          </w:p>
          <w:p>
            <w:pPr>
              <w:pStyle w:val="2"/>
              <w:keepNext w:val="0"/>
              <w:keepLines w:val="0"/>
              <w:widowControl/>
              <w:suppressLineNumbers w:val="0"/>
              <w:spacing w:before="0" w:beforeAutospacing="0" w:after="0" w:afterAutospacing="0" w:line="480" w:lineRule="atLeast"/>
              <w:ind w:left="0" w:right="0" w:firstLine="420"/>
            </w:pPr>
            <w:r>
              <w:rPr>
                <w:rFonts w:hint="eastAsia" w:ascii="宋体" w:hAnsi="宋体" w:eastAsia="宋体" w:cs="宋体"/>
                <w:i w:val="0"/>
                <w:caps w:val="0"/>
                <w:color w:val="000000"/>
                <w:spacing w:val="0"/>
                <w:sz w:val="24"/>
                <w:szCs w:val="24"/>
                <w:u w:val="none"/>
                <w:bdr w:val="none" w:color="auto" w:sz="0" w:space="0"/>
              </w:rPr>
              <w:t>4.国家和省另有规定不得应聘到事业单位的人员。</w:t>
            </w:r>
          </w:p>
          <w:p>
            <w:pPr>
              <w:pStyle w:val="2"/>
              <w:keepNext w:val="0"/>
              <w:keepLines w:val="0"/>
              <w:widowControl/>
              <w:suppressLineNumbers w:val="0"/>
              <w:spacing w:before="0" w:beforeAutospacing="0" w:after="0" w:afterAutospacing="0" w:line="480" w:lineRule="atLeast"/>
              <w:ind w:left="0" w:right="0" w:firstLine="420"/>
            </w:pPr>
            <w:r>
              <w:rPr>
                <w:rFonts w:hint="eastAsia" w:ascii="宋体" w:hAnsi="宋体" w:eastAsia="宋体" w:cs="宋体"/>
                <w:i w:val="0"/>
                <w:caps w:val="0"/>
                <w:color w:val="000000"/>
                <w:spacing w:val="0"/>
                <w:sz w:val="24"/>
                <w:szCs w:val="24"/>
                <w:u w:val="none"/>
                <w:bdr w:val="none" w:color="auto" w:sz="0" w:space="0"/>
              </w:rPr>
              <w:t>五、招聘程序</w:t>
            </w:r>
          </w:p>
          <w:p>
            <w:pPr>
              <w:pStyle w:val="2"/>
              <w:keepNext w:val="0"/>
              <w:keepLines w:val="0"/>
              <w:widowControl/>
              <w:suppressLineNumbers w:val="0"/>
              <w:spacing w:before="0" w:beforeAutospacing="0" w:after="0" w:afterAutospacing="0" w:line="480" w:lineRule="atLeast"/>
              <w:ind w:left="0" w:right="0" w:firstLine="420"/>
            </w:pPr>
            <w:r>
              <w:rPr>
                <w:rFonts w:hint="eastAsia" w:ascii="宋体" w:hAnsi="宋体" w:eastAsia="宋体" w:cs="宋体"/>
                <w:i w:val="0"/>
                <w:caps w:val="0"/>
                <w:color w:val="000000"/>
                <w:spacing w:val="0"/>
                <w:sz w:val="24"/>
                <w:szCs w:val="24"/>
                <w:u w:val="none"/>
                <w:bdr w:val="none" w:color="auto" w:sz="0" w:space="0"/>
              </w:rPr>
              <w:t>招聘程序主要包括：发布招聘信息、报名与资格审查、考试、体检、公示、聘用等。</w:t>
            </w:r>
          </w:p>
          <w:p>
            <w:pPr>
              <w:pStyle w:val="2"/>
              <w:keepNext w:val="0"/>
              <w:keepLines w:val="0"/>
              <w:widowControl/>
              <w:suppressLineNumbers w:val="0"/>
              <w:spacing w:before="0" w:beforeAutospacing="0" w:after="0" w:afterAutospacing="0" w:line="480" w:lineRule="atLeast"/>
              <w:ind w:left="0" w:right="0" w:firstLine="420"/>
            </w:pPr>
            <w:r>
              <w:rPr>
                <w:rFonts w:hint="eastAsia" w:ascii="宋体" w:hAnsi="宋体" w:eastAsia="宋体" w:cs="宋体"/>
                <w:i w:val="0"/>
                <w:caps w:val="0"/>
                <w:color w:val="000000"/>
                <w:spacing w:val="0"/>
                <w:sz w:val="24"/>
                <w:szCs w:val="24"/>
                <w:u w:val="none"/>
                <w:bdr w:val="none" w:color="auto" w:sz="0" w:space="0"/>
              </w:rPr>
              <w:t>（一）公布招聘信息</w:t>
            </w:r>
          </w:p>
          <w:p>
            <w:pPr>
              <w:pStyle w:val="2"/>
              <w:keepNext w:val="0"/>
              <w:keepLines w:val="0"/>
              <w:widowControl/>
              <w:suppressLineNumbers w:val="0"/>
              <w:spacing w:before="0" w:beforeAutospacing="0" w:after="0" w:afterAutospacing="0" w:line="480" w:lineRule="atLeast"/>
              <w:ind w:left="0" w:right="0" w:firstLine="420"/>
            </w:pPr>
            <w:r>
              <w:rPr>
                <w:rFonts w:hint="eastAsia" w:ascii="宋体" w:hAnsi="宋体" w:eastAsia="宋体" w:cs="宋体"/>
                <w:i w:val="0"/>
                <w:caps w:val="0"/>
                <w:color w:val="000000"/>
                <w:spacing w:val="0"/>
                <w:sz w:val="24"/>
                <w:szCs w:val="24"/>
                <w:u w:val="none"/>
                <w:bdr w:val="none" w:color="auto" w:sz="0" w:space="0"/>
              </w:rPr>
              <w:t>本次公开招聘信息分别在河南省人力资源和社会保障厅（网址http://hrss.henan.gov.cn）、河南省卫生健康委（网址http://www.hnwsjsw.gov.cn）和河南省疾病预防控制中心（网址http://www.hncdc.com.cn）网站上发布。发布时间为2019年7月8日—7月16日。</w:t>
            </w:r>
          </w:p>
          <w:p>
            <w:pPr>
              <w:pStyle w:val="2"/>
              <w:keepNext w:val="0"/>
              <w:keepLines w:val="0"/>
              <w:widowControl/>
              <w:suppressLineNumbers w:val="0"/>
              <w:spacing w:before="0" w:beforeAutospacing="0" w:after="0" w:afterAutospacing="0" w:line="480" w:lineRule="atLeast"/>
              <w:ind w:left="0" w:right="0" w:firstLine="420"/>
            </w:pPr>
            <w:r>
              <w:rPr>
                <w:rFonts w:hint="eastAsia" w:ascii="宋体" w:hAnsi="宋体" w:eastAsia="宋体" w:cs="宋体"/>
                <w:i w:val="0"/>
                <w:caps w:val="0"/>
                <w:color w:val="000000"/>
                <w:spacing w:val="0"/>
                <w:sz w:val="24"/>
                <w:szCs w:val="24"/>
                <w:u w:val="none"/>
                <w:bdr w:val="none" w:color="auto" w:sz="0" w:space="0"/>
              </w:rPr>
              <w:t>（二）报名和资格审查</w:t>
            </w:r>
          </w:p>
          <w:p>
            <w:pPr>
              <w:pStyle w:val="2"/>
              <w:keepNext w:val="0"/>
              <w:keepLines w:val="0"/>
              <w:widowControl/>
              <w:suppressLineNumbers w:val="0"/>
              <w:spacing w:before="0" w:beforeAutospacing="0" w:after="0" w:afterAutospacing="0" w:line="480" w:lineRule="atLeast"/>
              <w:ind w:left="0" w:right="0" w:firstLine="420"/>
            </w:pPr>
            <w:r>
              <w:rPr>
                <w:rFonts w:hint="eastAsia" w:ascii="宋体" w:hAnsi="宋体" w:eastAsia="宋体" w:cs="宋体"/>
                <w:i w:val="0"/>
                <w:caps w:val="0"/>
                <w:color w:val="000000"/>
                <w:spacing w:val="0"/>
                <w:sz w:val="24"/>
                <w:szCs w:val="24"/>
                <w:u w:val="none"/>
                <w:bdr w:val="none" w:color="auto" w:sz="0" w:space="0"/>
              </w:rPr>
              <w:t>报名和资格审查工作由河南省疾病预防控制中心负责组织实施。</w:t>
            </w:r>
          </w:p>
          <w:p>
            <w:pPr>
              <w:pStyle w:val="2"/>
              <w:keepNext w:val="0"/>
              <w:keepLines w:val="0"/>
              <w:widowControl/>
              <w:suppressLineNumbers w:val="0"/>
              <w:spacing w:before="0" w:beforeAutospacing="0" w:after="0" w:afterAutospacing="0" w:line="480" w:lineRule="atLeast"/>
              <w:ind w:left="0" w:right="0" w:firstLine="420"/>
            </w:pPr>
            <w:r>
              <w:rPr>
                <w:rFonts w:hint="eastAsia" w:ascii="宋体" w:hAnsi="宋体" w:eastAsia="宋体" w:cs="宋体"/>
                <w:i w:val="0"/>
                <w:caps w:val="0"/>
                <w:color w:val="000000"/>
                <w:spacing w:val="0"/>
                <w:sz w:val="24"/>
                <w:szCs w:val="24"/>
                <w:u w:val="none"/>
                <w:bdr w:val="none" w:color="auto" w:sz="0" w:space="0"/>
              </w:rPr>
              <w:t>1、报名时间：从2019年7月11日—7月17日（上午9：10—11：30，下午1：30—4：30节假日正常受理），报名联系电话：0371-68089212。</w:t>
            </w:r>
          </w:p>
          <w:p>
            <w:pPr>
              <w:pStyle w:val="2"/>
              <w:keepNext w:val="0"/>
              <w:keepLines w:val="0"/>
              <w:widowControl/>
              <w:suppressLineNumbers w:val="0"/>
              <w:spacing w:before="0" w:beforeAutospacing="0" w:after="0" w:afterAutospacing="0" w:line="480" w:lineRule="atLeast"/>
              <w:ind w:left="0" w:right="0" w:firstLine="420"/>
            </w:pPr>
            <w:r>
              <w:rPr>
                <w:rFonts w:hint="eastAsia" w:ascii="宋体" w:hAnsi="宋体" w:eastAsia="宋体" w:cs="宋体"/>
                <w:i w:val="0"/>
                <w:caps w:val="0"/>
                <w:color w:val="000000"/>
                <w:spacing w:val="0"/>
                <w:sz w:val="24"/>
                <w:szCs w:val="24"/>
                <w:u w:val="none"/>
                <w:bdr w:val="none" w:color="auto" w:sz="0" w:space="0"/>
              </w:rPr>
              <w:t>2、报名方式：网上报名和现场报名可任选其一。网上报名时，应聘人员可在河南省疾病预防控制中心（http://www.hncdc.com.cn/）网站下载《河南省疾病预防控制中心公开招聘工作人员报名表》（附件2），应聘人员将《报名表》、身份证、各阶段毕业证及学位证、资格证、执业证等电子版以“专业 +姓名”命名发送至邮箱hncdcrsc@163.com。现场报名时，需提交以上提及的证件原件及复印件各1份（查验原件、留存复印件），应聘人员每人只能选报一个岗位（应届毕业生需提供就业协议书和毕业生就业推荐表，留学回国人员需提交本人有效身份证、留学回国人员证明及教育部出具的国外学历学位认证书等原件及复印件各1份）。</w:t>
            </w:r>
          </w:p>
          <w:p>
            <w:pPr>
              <w:pStyle w:val="2"/>
              <w:keepNext w:val="0"/>
              <w:keepLines w:val="0"/>
              <w:widowControl/>
              <w:suppressLineNumbers w:val="0"/>
              <w:spacing w:before="0" w:beforeAutospacing="0" w:after="0" w:afterAutospacing="0" w:line="480" w:lineRule="atLeast"/>
              <w:ind w:left="0" w:right="0" w:firstLine="420"/>
            </w:pPr>
            <w:r>
              <w:rPr>
                <w:rFonts w:hint="eastAsia" w:ascii="宋体" w:hAnsi="宋体" w:eastAsia="宋体" w:cs="宋体"/>
                <w:i w:val="0"/>
                <w:caps w:val="0"/>
                <w:color w:val="000000"/>
                <w:spacing w:val="0"/>
                <w:sz w:val="24"/>
                <w:szCs w:val="24"/>
                <w:u w:val="none"/>
                <w:bdr w:val="none" w:color="auto" w:sz="0" w:space="0"/>
              </w:rPr>
              <w:t>3、资格审查：招聘单位根据应聘人员提交相关材料进行资格审查，经审查符合报名条件者，接受其报名申请，并确认《河南省疾病预防控制中心公开招聘工作人员报名表》，资格审查贯穿招聘工作全过程，对不符合报名条件、弄虚作假或违反招聘规定的，取消其应聘或聘用资格。交本人近期同底证件照片3张。</w:t>
            </w:r>
          </w:p>
          <w:p>
            <w:pPr>
              <w:pStyle w:val="2"/>
              <w:keepNext w:val="0"/>
              <w:keepLines w:val="0"/>
              <w:widowControl/>
              <w:suppressLineNumbers w:val="0"/>
              <w:spacing w:before="0" w:beforeAutospacing="0" w:after="0" w:afterAutospacing="0" w:line="480" w:lineRule="atLeast"/>
              <w:ind w:left="0" w:right="0" w:firstLine="420"/>
            </w:pPr>
            <w:r>
              <w:rPr>
                <w:rFonts w:hint="eastAsia" w:ascii="宋体" w:hAnsi="宋体" w:eastAsia="宋体" w:cs="宋体"/>
                <w:i w:val="0"/>
                <w:caps w:val="0"/>
                <w:color w:val="000000"/>
                <w:spacing w:val="0"/>
                <w:sz w:val="24"/>
                <w:szCs w:val="24"/>
                <w:u w:val="none"/>
                <w:bdr w:val="none" w:color="auto" w:sz="0" w:space="0"/>
              </w:rPr>
              <w:t>各招聘岗位拟招聘人数与符合报名资格审查条件的人数比例低于1:3的，相应缩减该招聘岗位人数。</w:t>
            </w:r>
          </w:p>
          <w:p>
            <w:pPr>
              <w:pStyle w:val="2"/>
              <w:keepNext w:val="0"/>
              <w:keepLines w:val="0"/>
              <w:widowControl/>
              <w:suppressLineNumbers w:val="0"/>
              <w:spacing w:before="0" w:beforeAutospacing="0" w:after="0" w:afterAutospacing="0" w:line="480" w:lineRule="atLeast"/>
              <w:ind w:left="0" w:right="0" w:firstLine="420"/>
            </w:pPr>
            <w:r>
              <w:rPr>
                <w:rFonts w:hint="eastAsia" w:ascii="宋体" w:hAnsi="宋体" w:eastAsia="宋体" w:cs="宋体"/>
                <w:i w:val="0"/>
                <w:caps w:val="0"/>
                <w:color w:val="000000"/>
                <w:spacing w:val="0"/>
                <w:sz w:val="24"/>
                <w:szCs w:val="24"/>
                <w:u w:val="none"/>
                <w:bdr w:val="none" w:color="auto" w:sz="0" w:space="0"/>
              </w:rPr>
              <w:t>资格审查贯穿招聘工作全过程，对不符合报名条件、弄虚作假或违反招聘规定的，取消其应聘或聘用资格。</w:t>
            </w:r>
          </w:p>
          <w:p>
            <w:pPr>
              <w:pStyle w:val="2"/>
              <w:keepNext w:val="0"/>
              <w:keepLines w:val="0"/>
              <w:widowControl/>
              <w:suppressLineNumbers w:val="0"/>
              <w:spacing w:before="0" w:beforeAutospacing="0" w:after="0" w:afterAutospacing="0" w:line="480" w:lineRule="atLeast"/>
              <w:ind w:left="0" w:right="0" w:firstLine="420"/>
            </w:pPr>
            <w:r>
              <w:rPr>
                <w:rFonts w:hint="eastAsia" w:ascii="宋体" w:hAnsi="宋体" w:eastAsia="宋体" w:cs="宋体"/>
                <w:i w:val="0"/>
                <w:caps w:val="0"/>
                <w:color w:val="000000"/>
                <w:spacing w:val="0"/>
                <w:sz w:val="24"/>
                <w:szCs w:val="24"/>
                <w:u w:val="none"/>
                <w:bdr w:val="none" w:color="auto" w:sz="0" w:space="0"/>
              </w:rPr>
              <w:t>（三）考试</w:t>
            </w:r>
          </w:p>
          <w:p>
            <w:pPr>
              <w:pStyle w:val="2"/>
              <w:keepNext w:val="0"/>
              <w:keepLines w:val="0"/>
              <w:widowControl/>
              <w:suppressLineNumbers w:val="0"/>
              <w:spacing w:before="0" w:beforeAutospacing="0" w:after="0" w:afterAutospacing="0" w:line="480" w:lineRule="atLeast"/>
              <w:ind w:left="0" w:right="0" w:firstLine="420"/>
            </w:pPr>
            <w:r>
              <w:rPr>
                <w:rFonts w:hint="eastAsia" w:ascii="宋体" w:hAnsi="宋体" w:eastAsia="宋体" w:cs="宋体"/>
                <w:i w:val="0"/>
                <w:caps w:val="0"/>
                <w:color w:val="000000"/>
                <w:spacing w:val="0"/>
                <w:sz w:val="24"/>
                <w:szCs w:val="24"/>
                <w:u w:val="none"/>
                <w:bdr w:val="none" w:color="auto" w:sz="0" w:space="0"/>
              </w:rPr>
              <w:t>考试分为笔试、面试，均为100分制，按比例形成最后综合成绩。考试工作在省人社厅、省卫生健康委的指导下，由河南省疾病预防控制中心具体实施。博士研究生应聘博士岗位不参加笔试，直接进行面试。</w:t>
            </w:r>
          </w:p>
          <w:p>
            <w:pPr>
              <w:pStyle w:val="2"/>
              <w:keepNext w:val="0"/>
              <w:keepLines w:val="0"/>
              <w:widowControl/>
              <w:suppressLineNumbers w:val="0"/>
              <w:spacing w:before="0" w:beforeAutospacing="0" w:after="0" w:afterAutospacing="0" w:line="480" w:lineRule="atLeast"/>
              <w:ind w:left="0" w:right="0" w:firstLine="420"/>
            </w:pPr>
            <w:r>
              <w:rPr>
                <w:rFonts w:hint="eastAsia" w:ascii="宋体" w:hAnsi="宋体" w:eastAsia="宋体" w:cs="宋体"/>
                <w:i w:val="0"/>
                <w:caps w:val="0"/>
                <w:color w:val="000000"/>
                <w:spacing w:val="0"/>
                <w:sz w:val="24"/>
                <w:szCs w:val="24"/>
                <w:u w:val="none"/>
                <w:bdr w:val="none" w:color="auto" w:sz="0" w:space="0"/>
              </w:rPr>
              <w:t>1.笔试。笔试内容为专业基础知识，满分100分。笔试时间和地点在河南省疾病预防控制中心网站公布。笔试成绩在笔试结束一周内，在河南省疾病预防控制中心网站公布。笔试成绩低于60分的原则上不进入面试。</w:t>
            </w:r>
          </w:p>
          <w:p>
            <w:pPr>
              <w:pStyle w:val="2"/>
              <w:keepNext w:val="0"/>
              <w:keepLines w:val="0"/>
              <w:widowControl/>
              <w:suppressLineNumbers w:val="0"/>
              <w:spacing w:before="0" w:beforeAutospacing="0" w:after="0" w:afterAutospacing="0" w:line="480" w:lineRule="atLeast"/>
              <w:ind w:left="0" w:right="0" w:firstLine="420"/>
            </w:pPr>
            <w:r>
              <w:rPr>
                <w:rFonts w:hint="eastAsia" w:ascii="宋体" w:hAnsi="宋体" w:eastAsia="宋体" w:cs="宋体"/>
                <w:i w:val="0"/>
                <w:caps w:val="0"/>
                <w:color w:val="000000"/>
                <w:spacing w:val="0"/>
                <w:sz w:val="24"/>
                <w:szCs w:val="24"/>
                <w:u w:val="none"/>
                <w:bdr w:val="none" w:color="auto" w:sz="0" w:space="0"/>
              </w:rPr>
              <w:t>2.面试。面试人员根据笔试成绩从高分到低分，按照各招聘岗位拟招聘人数的1：3确定。面试时间、地点由招聘单位通知面试人员；参加面试的人员需在面试开始前15分钟，持本人有效身份证、准考证进入面试区。面试成绩低于60分者，不列为体检对象。面试主要考察应聘者专业知识水平、综合分析能力、语言表达能力、应变能力、组织协调能力及敬业精神等。</w:t>
            </w:r>
          </w:p>
          <w:p>
            <w:pPr>
              <w:pStyle w:val="2"/>
              <w:keepNext w:val="0"/>
              <w:keepLines w:val="0"/>
              <w:widowControl/>
              <w:suppressLineNumbers w:val="0"/>
              <w:spacing w:before="0" w:beforeAutospacing="0" w:after="0" w:afterAutospacing="0" w:line="480" w:lineRule="atLeast"/>
              <w:ind w:left="0" w:right="0" w:firstLine="420"/>
            </w:pPr>
            <w:r>
              <w:rPr>
                <w:rFonts w:hint="eastAsia" w:ascii="宋体" w:hAnsi="宋体" w:eastAsia="宋体" w:cs="宋体"/>
                <w:i w:val="0"/>
                <w:caps w:val="0"/>
                <w:color w:val="000000"/>
                <w:spacing w:val="0"/>
                <w:sz w:val="24"/>
                <w:szCs w:val="24"/>
                <w:u w:val="none"/>
                <w:bdr w:val="none" w:color="auto" w:sz="0" w:space="0"/>
              </w:rPr>
              <w:t>3.考试总成绩=笔试成绩×40％+面试成绩×60％。（申报博士岗位的博士研究生的面试成绩即为考试总成绩。）</w:t>
            </w:r>
          </w:p>
          <w:p>
            <w:pPr>
              <w:pStyle w:val="2"/>
              <w:keepNext w:val="0"/>
              <w:keepLines w:val="0"/>
              <w:widowControl/>
              <w:suppressLineNumbers w:val="0"/>
              <w:spacing w:before="0" w:beforeAutospacing="0" w:after="0" w:afterAutospacing="0" w:line="480" w:lineRule="atLeast"/>
              <w:ind w:left="0" w:right="0" w:firstLine="420"/>
            </w:pPr>
            <w:r>
              <w:rPr>
                <w:rFonts w:hint="eastAsia" w:ascii="宋体" w:hAnsi="宋体" w:eastAsia="宋体" w:cs="宋体"/>
                <w:i w:val="0"/>
                <w:caps w:val="0"/>
                <w:color w:val="000000"/>
                <w:spacing w:val="0"/>
                <w:sz w:val="24"/>
                <w:szCs w:val="24"/>
                <w:u w:val="none"/>
                <w:bdr w:val="none" w:color="auto" w:sz="0" w:space="0"/>
              </w:rPr>
              <w:t>4. 面试环节将全程录音录像。面试成绩于整场面试结束后现场公布，面试结束的当天在河南省疾病预防控制中心网站公布成绩及排名。</w:t>
            </w:r>
          </w:p>
          <w:p>
            <w:pPr>
              <w:pStyle w:val="2"/>
              <w:keepNext w:val="0"/>
              <w:keepLines w:val="0"/>
              <w:widowControl/>
              <w:suppressLineNumbers w:val="0"/>
              <w:spacing w:before="0" w:beforeAutospacing="0" w:after="0" w:afterAutospacing="0" w:line="480" w:lineRule="atLeast"/>
              <w:ind w:left="0" w:right="0" w:firstLine="420"/>
            </w:pPr>
            <w:r>
              <w:rPr>
                <w:rFonts w:hint="eastAsia" w:ascii="宋体" w:hAnsi="宋体" w:eastAsia="宋体" w:cs="宋体"/>
                <w:i w:val="0"/>
                <w:caps w:val="0"/>
                <w:color w:val="000000"/>
                <w:spacing w:val="0"/>
                <w:sz w:val="24"/>
                <w:szCs w:val="24"/>
                <w:u w:val="none"/>
                <w:bdr w:val="none" w:color="auto" w:sz="0" w:space="0"/>
              </w:rPr>
              <w:t>(四)体检和考察</w:t>
            </w:r>
          </w:p>
          <w:p>
            <w:pPr>
              <w:pStyle w:val="2"/>
              <w:keepNext w:val="0"/>
              <w:keepLines w:val="0"/>
              <w:widowControl/>
              <w:suppressLineNumbers w:val="0"/>
              <w:spacing w:before="0" w:beforeAutospacing="0" w:after="0" w:afterAutospacing="0" w:line="480" w:lineRule="atLeast"/>
              <w:ind w:left="0" w:right="0" w:firstLine="420"/>
            </w:pPr>
            <w:r>
              <w:rPr>
                <w:rFonts w:hint="eastAsia" w:ascii="宋体" w:hAnsi="宋体" w:eastAsia="宋体" w:cs="宋体"/>
                <w:i w:val="0"/>
                <w:caps w:val="0"/>
                <w:color w:val="000000"/>
                <w:spacing w:val="0"/>
                <w:sz w:val="24"/>
                <w:szCs w:val="24"/>
                <w:u w:val="none"/>
                <w:bdr w:val="none" w:color="auto" w:sz="0" w:space="0"/>
              </w:rPr>
              <w:t>体检工作由省疾病控制中心负责组织实施。体检人员名单根据考试总成绩从高分到低分，按各招聘岗位拟招聘人数1：1的比例确定，最后一名考试成绩相同的，进行面试加试。体检标准参照公务员录用体检通用标准，因体检不合格出现缺额时，按考试总成绩由高分到低分依次递补。体检合格人员由我中心对其思想政治表现、道德品质等进行考察。对有违纪违规记录、以及其他不符合应聘条件的人员，经核实取消应聘资格。考察不合格不再递补。</w:t>
            </w:r>
          </w:p>
          <w:p>
            <w:pPr>
              <w:pStyle w:val="2"/>
              <w:keepNext w:val="0"/>
              <w:keepLines w:val="0"/>
              <w:widowControl/>
              <w:suppressLineNumbers w:val="0"/>
              <w:spacing w:before="0" w:beforeAutospacing="0" w:after="0" w:afterAutospacing="0" w:line="480" w:lineRule="atLeast"/>
              <w:ind w:left="0" w:right="0" w:firstLine="420"/>
            </w:pPr>
            <w:r>
              <w:rPr>
                <w:rFonts w:hint="eastAsia" w:ascii="宋体" w:hAnsi="宋体" w:eastAsia="宋体" w:cs="宋体"/>
                <w:i w:val="0"/>
                <w:caps w:val="0"/>
                <w:color w:val="000000"/>
                <w:spacing w:val="0"/>
                <w:sz w:val="24"/>
                <w:szCs w:val="24"/>
                <w:u w:val="none"/>
                <w:bdr w:val="none" w:color="auto" w:sz="0" w:space="0"/>
              </w:rPr>
              <w:t>(五)拟聘人员公示</w:t>
            </w:r>
          </w:p>
          <w:p>
            <w:pPr>
              <w:pStyle w:val="2"/>
              <w:keepNext w:val="0"/>
              <w:keepLines w:val="0"/>
              <w:widowControl/>
              <w:suppressLineNumbers w:val="0"/>
              <w:spacing w:before="0" w:beforeAutospacing="0" w:after="0" w:afterAutospacing="0" w:line="480" w:lineRule="atLeast"/>
              <w:ind w:left="0" w:right="0" w:firstLine="420"/>
            </w:pPr>
            <w:r>
              <w:rPr>
                <w:rFonts w:hint="eastAsia" w:ascii="宋体" w:hAnsi="宋体" w:eastAsia="宋体" w:cs="宋体"/>
                <w:i w:val="0"/>
                <w:caps w:val="0"/>
                <w:color w:val="000000"/>
                <w:spacing w:val="0"/>
                <w:sz w:val="24"/>
                <w:szCs w:val="24"/>
                <w:u w:val="none"/>
                <w:bdr w:val="none" w:color="auto" w:sz="0" w:space="0"/>
              </w:rPr>
              <w:t>体检、考察合格人员即为拟聘人员，拟聘用名单上报省卫生健康委，经省人社厅审核同意后，在省人社厅网站、卫生健康委网站、中心网站上进行公示，公示期为7个工作日。</w:t>
            </w:r>
          </w:p>
          <w:p>
            <w:pPr>
              <w:pStyle w:val="2"/>
              <w:keepNext w:val="0"/>
              <w:keepLines w:val="0"/>
              <w:widowControl/>
              <w:suppressLineNumbers w:val="0"/>
              <w:spacing w:before="0" w:beforeAutospacing="0" w:after="0" w:afterAutospacing="0" w:line="480" w:lineRule="atLeast"/>
              <w:ind w:left="0" w:right="0" w:firstLine="420"/>
            </w:pPr>
            <w:r>
              <w:rPr>
                <w:rFonts w:hint="eastAsia" w:ascii="宋体" w:hAnsi="宋体" w:eastAsia="宋体" w:cs="宋体"/>
                <w:i w:val="0"/>
                <w:caps w:val="0"/>
                <w:color w:val="000000"/>
                <w:spacing w:val="0"/>
                <w:sz w:val="24"/>
                <w:szCs w:val="24"/>
                <w:u w:val="none"/>
                <w:bdr w:val="none" w:color="auto" w:sz="0" w:space="0"/>
              </w:rPr>
              <w:t>六、聘用</w:t>
            </w:r>
          </w:p>
          <w:p>
            <w:pPr>
              <w:pStyle w:val="2"/>
              <w:keepNext w:val="0"/>
              <w:keepLines w:val="0"/>
              <w:widowControl/>
              <w:suppressLineNumbers w:val="0"/>
              <w:spacing w:before="0" w:beforeAutospacing="0" w:after="0" w:afterAutospacing="0" w:line="480" w:lineRule="atLeast"/>
              <w:ind w:left="0" w:right="0" w:firstLine="420"/>
            </w:pPr>
            <w:r>
              <w:rPr>
                <w:rFonts w:hint="eastAsia" w:ascii="宋体" w:hAnsi="宋体" w:eastAsia="宋体" w:cs="宋体"/>
                <w:i w:val="0"/>
                <w:caps w:val="0"/>
                <w:color w:val="000000"/>
                <w:spacing w:val="0"/>
                <w:sz w:val="24"/>
                <w:szCs w:val="24"/>
                <w:u w:val="none"/>
                <w:bdr w:val="none" w:color="auto" w:sz="0" w:space="0"/>
              </w:rPr>
              <w:t>经公示无异议的拟聘用人员，凭省人力资源和社会保障厅下发的《河南省人力资源和社会保障厅省直事业单位聘用人员通知》办理相关手续，其待遇按照河南省事业单位有关规定执行。</w:t>
            </w:r>
          </w:p>
          <w:p>
            <w:pPr>
              <w:pStyle w:val="2"/>
              <w:keepNext w:val="0"/>
              <w:keepLines w:val="0"/>
              <w:widowControl/>
              <w:suppressLineNumbers w:val="0"/>
              <w:spacing w:before="0" w:beforeAutospacing="0" w:after="0" w:afterAutospacing="0" w:line="480" w:lineRule="atLeast"/>
              <w:ind w:left="0" w:right="0" w:firstLine="420"/>
            </w:pPr>
            <w:r>
              <w:rPr>
                <w:rFonts w:hint="eastAsia" w:ascii="宋体" w:hAnsi="宋体" w:eastAsia="宋体" w:cs="宋体"/>
                <w:i w:val="0"/>
                <w:caps w:val="0"/>
                <w:color w:val="000000"/>
                <w:spacing w:val="0"/>
                <w:sz w:val="24"/>
                <w:szCs w:val="24"/>
                <w:u w:val="none"/>
                <w:bdr w:val="none" w:color="auto" w:sz="0" w:space="0"/>
              </w:rPr>
              <w:t>七、纪律与监督</w:t>
            </w:r>
          </w:p>
          <w:p>
            <w:pPr>
              <w:pStyle w:val="2"/>
              <w:keepNext w:val="0"/>
              <w:keepLines w:val="0"/>
              <w:widowControl/>
              <w:suppressLineNumbers w:val="0"/>
              <w:spacing w:before="0" w:beforeAutospacing="0" w:after="0" w:afterAutospacing="0" w:line="480" w:lineRule="atLeast"/>
              <w:ind w:left="0" w:right="0" w:firstLine="420"/>
            </w:pPr>
            <w:r>
              <w:rPr>
                <w:rFonts w:hint="eastAsia" w:ascii="宋体" w:hAnsi="宋体" w:eastAsia="宋体" w:cs="宋体"/>
                <w:i w:val="0"/>
                <w:caps w:val="0"/>
                <w:color w:val="000000"/>
                <w:spacing w:val="0"/>
                <w:sz w:val="24"/>
                <w:szCs w:val="24"/>
                <w:u w:val="none"/>
                <w:bdr w:val="none" w:color="auto" w:sz="0" w:space="0"/>
              </w:rPr>
              <w:t>中心纪检监察部门负责整个公开招聘工作的监督检查，对举报和申诉进行调查查处。对弄虚作假，在考核过程中作弊的应聘人员，一经查实，将取消其应聘资格，对违反公开招聘纪律的工作人员，视情节轻重，给予相应的处理。</w:t>
            </w:r>
          </w:p>
          <w:p>
            <w:pPr>
              <w:pStyle w:val="2"/>
              <w:keepNext w:val="0"/>
              <w:keepLines w:val="0"/>
              <w:widowControl/>
              <w:suppressLineNumbers w:val="0"/>
              <w:spacing w:before="0" w:beforeAutospacing="0" w:after="0" w:afterAutospacing="0" w:line="480" w:lineRule="atLeast"/>
              <w:ind w:left="0" w:right="0" w:firstLine="420"/>
            </w:pPr>
            <w:r>
              <w:rPr>
                <w:rFonts w:hint="eastAsia" w:ascii="宋体" w:hAnsi="宋体" w:eastAsia="宋体" w:cs="宋体"/>
                <w:i w:val="0"/>
                <w:caps w:val="0"/>
                <w:color w:val="000000"/>
                <w:spacing w:val="0"/>
                <w:sz w:val="24"/>
                <w:szCs w:val="24"/>
                <w:u w:val="none"/>
                <w:bdr w:val="none" w:color="auto" w:sz="0" w:space="0"/>
              </w:rPr>
              <w:t>监督电话： 0371-85961102（省卫生健康委人事处）</w:t>
            </w:r>
          </w:p>
          <w:p>
            <w:pPr>
              <w:pStyle w:val="2"/>
              <w:keepNext w:val="0"/>
              <w:keepLines w:val="0"/>
              <w:widowControl/>
              <w:suppressLineNumbers w:val="0"/>
              <w:spacing w:before="0" w:beforeAutospacing="0" w:after="0" w:afterAutospacing="0" w:line="480" w:lineRule="atLeast"/>
              <w:ind w:left="0" w:right="0" w:firstLine="420"/>
            </w:pPr>
            <w:r>
              <w:rPr>
                <w:rFonts w:hint="eastAsia" w:ascii="宋体" w:hAnsi="宋体" w:eastAsia="宋体" w:cs="宋体"/>
                <w:i w:val="0"/>
                <w:caps w:val="0"/>
                <w:color w:val="000000"/>
                <w:spacing w:val="0"/>
                <w:sz w:val="24"/>
                <w:szCs w:val="24"/>
                <w:u w:val="none"/>
                <w:bdr w:val="none" w:color="auto" w:sz="0" w:space="0"/>
              </w:rPr>
              <w:t>0371-69690394（省人社厅事业处）</w:t>
            </w:r>
          </w:p>
          <w:p>
            <w:pPr>
              <w:pStyle w:val="2"/>
              <w:keepNext w:val="0"/>
              <w:keepLines w:val="0"/>
              <w:widowControl/>
              <w:suppressLineNumbers w:val="0"/>
              <w:spacing w:before="0" w:beforeAutospacing="0" w:after="0" w:afterAutospacing="0" w:line="480" w:lineRule="atLeast"/>
              <w:ind w:left="0" w:right="0" w:firstLine="420"/>
            </w:pPr>
            <w:r>
              <w:rPr>
                <w:rFonts w:hint="eastAsia" w:ascii="宋体" w:hAnsi="宋体" w:eastAsia="宋体" w:cs="宋体"/>
                <w:i w:val="0"/>
                <w:caps w:val="0"/>
                <w:color w:val="000000"/>
                <w:spacing w:val="0"/>
                <w:sz w:val="24"/>
                <w:szCs w:val="24"/>
                <w:u w:val="none"/>
                <w:bdr w:val="none" w:color="auto" w:sz="0" w:space="0"/>
              </w:rPr>
              <w:t>0371-68089293（中心纪检监察室）</w:t>
            </w:r>
          </w:p>
          <w:p>
            <w:pPr>
              <w:pStyle w:val="2"/>
              <w:keepNext w:val="0"/>
              <w:keepLines w:val="0"/>
              <w:widowControl/>
              <w:suppressLineNumbers w:val="0"/>
              <w:spacing w:before="0" w:beforeAutospacing="0" w:after="0" w:afterAutospacing="0" w:line="480" w:lineRule="atLeast"/>
              <w:ind w:left="0" w:right="0" w:firstLine="420"/>
            </w:pPr>
            <w:r>
              <w:rPr>
                <w:rFonts w:hint="eastAsia" w:ascii="宋体" w:hAnsi="宋体" w:eastAsia="宋体" w:cs="宋体"/>
                <w:i w:val="0"/>
                <w:caps w:val="0"/>
                <w:color w:val="000000"/>
                <w:spacing w:val="0"/>
                <w:sz w:val="24"/>
                <w:szCs w:val="24"/>
                <w:u w:val="none"/>
                <w:bdr w:val="none" w:color="auto" w:sz="0" w:space="0"/>
              </w:rPr>
              <w:t>附件1：河南省疾病预防控制中心公开招聘工作人员一览表；</w:t>
            </w:r>
          </w:p>
          <w:p>
            <w:pPr>
              <w:pStyle w:val="2"/>
              <w:keepNext w:val="0"/>
              <w:keepLines w:val="0"/>
              <w:widowControl/>
              <w:suppressLineNumbers w:val="0"/>
              <w:spacing w:before="0" w:beforeAutospacing="0" w:after="0" w:afterAutospacing="0" w:line="480" w:lineRule="atLeast"/>
              <w:ind w:left="0" w:right="0" w:firstLine="420"/>
            </w:pPr>
            <w:r>
              <w:rPr>
                <w:rFonts w:hint="eastAsia" w:ascii="宋体" w:hAnsi="宋体" w:eastAsia="宋体" w:cs="宋体"/>
                <w:i w:val="0"/>
                <w:caps w:val="0"/>
                <w:color w:val="000000"/>
                <w:spacing w:val="0"/>
                <w:sz w:val="24"/>
                <w:szCs w:val="24"/>
                <w:u w:val="none"/>
                <w:bdr w:val="none" w:color="auto" w:sz="0" w:space="0"/>
              </w:rPr>
              <w:t>附件2：河南省疾病预防控制中心公开招聘工作人员报名表。</w:t>
            </w:r>
          </w:p>
          <w:p>
            <w:pPr>
              <w:pStyle w:val="2"/>
              <w:keepNext w:val="0"/>
              <w:keepLines w:val="0"/>
              <w:widowControl/>
              <w:suppressLineNumbers w:val="0"/>
              <w:spacing w:before="0" w:beforeAutospacing="0" w:after="0" w:afterAutospacing="0" w:line="480" w:lineRule="atLeast"/>
              <w:ind w:left="0" w:right="0" w:firstLine="420"/>
            </w:pPr>
            <w:r>
              <w:rPr>
                <w:rFonts w:hint="eastAsia" w:ascii="宋体" w:hAnsi="宋体" w:eastAsia="宋体" w:cs="宋体"/>
                <w:i w:val="0"/>
                <w:caps w:val="0"/>
                <w:color w:val="000000"/>
                <w:spacing w:val="0"/>
                <w:sz w:val="24"/>
                <w:szCs w:val="24"/>
                <w:u w:val="none"/>
                <w:bdr w:val="none" w:color="auto" w:sz="0" w:space="0"/>
              </w:rPr>
              <w:t> </w:t>
            </w:r>
          </w:p>
          <w:p>
            <w:pPr>
              <w:pStyle w:val="2"/>
              <w:keepNext w:val="0"/>
              <w:keepLines w:val="0"/>
              <w:widowControl/>
              <w:suppressLineNumbers w:val="0"/>
              <w:spacing w:before="0" w:beforeAutospacing="0" w:after="0" w:afterAutospacing="0" w:line="480" w:lineRule="atLeast"/>
              <w:ind w:left="0" w:right="0" w:firstLine="420"/>
            </w:pPr>
            <w:r>
              <w:rPr>
                <w:rFonts w:hint="eastAsia" w:ascii="宋体" w:hAnsi="宋体" w:eastAsia="宋体" w:cs="宋体"/>
                <w:i w:val="0"/>
                <w:caps w:val="0"/>
                <w:color w:val="000000"/>
                <w:spacing w:val="0"/>
                <w:sz w:val="24"/>
                <w:szCs w:val="24"/>
                <w:u w:val="none"/>
                <w:bdr w:val="none" w:color="auto" w:sz="0" w:space="0"/>
              </w:rPr>
              <w:t>                               </w:t>
            </w:r>
          </w:p>
          <w:p>
            <w:pPr>
              <w:pStyle w:val="2"/>
              <w:keepNext w:val="0"/>
              <w:keepLines w:val="0"/>
              <w:widowControl/>
              <w:suppressLineNumbers w:val="0"/>
              <w:spacing w:before="0" w:beforeAutospacing="0" w:after="0" w:afterAutospacing="0" w:line="480" w:lineRule="atLeast"/>
              <w:ind w:left="0" w:right="0" w:firstLine="420"/>
            </w:pPr>
            <w:r>
              <w:rPr>
                <w:rFonts w:hint="eastAsia" w:ascii="宋体" w:hAnsi="宋体" w:eastAsia="宋体" w:cs="宋体"/>
                <w:i w:val="0"/>
                <w:caps w:val="0"/>
                <w:color w:val="000000"/>
                <w:spacing w:val="0"/>
                <w:sz w:val="24"/>
                <w:szCs w:val="24"/>
                <w:u w:val="none"/>
                <w:bdr w:val="none" w:color="auto" w:sz="0" w:space="0"/>
              </w:rPr>
              <w:t> </w:t>
            </w:r>
          </w:p>
          <w:p>
            <w:pPr>
              <w:pStyle w:val="2"/>
              <w:keepNext w:val="0"/>
              <w:keepLines w:val="0"/>
              <w:widowControl/>
              <w:suppressLineNumbers w:val="0"/>
              <w:spacing w:before="0" w:beforeAutospacing="0" w:after="0" w:afterAutospacing="0" w:line="480" w:lineRule="atLeast"/>
              <w:ind w:left="0" w:right="0" w:firstLine="420"/>
            </w:pPr>
            <w:r>
              <w:rPr>
                <w:rFonts w:hint="eastAsia" w:ascii="宋体" w:hAnsi="宋体" w:eastAsia="宋体" w:cs="宋体"/>
                <w:i w:val="0"/>
                <w:caps w:val="0"/>
                <w:color w:val="000000"/>
                <w:spacing w:val="0"/>
                <w:sz w:val="24"/>
                <w:szCs w:val="24"/>
                <w:u w:val="none"/>
                <w:bdr w:val="none" w:color="auto" w:sz="0" w:space="0"/>
              </w:rPr>
              <w:t> </w:t>
            </w:r>
          </w:p>
          <w:p>
            <w:pPr>
              <w:pStyle w:val="2"/>
              <w:keepNext w:val="0"/>
              <w:keepLines w:val="0"/>
              <w:widowControl/>
              <w:suppressLineNumbers w:val="0"/>
              <w:spacing w:before="0" w:beforeAutospacing="0" w:after="0" w:afterAutospacing="0" w:line="480" w:lineRule="atLeast"/>
              <w:ind w:left="0" w:right="0" w:firstLine="420"/>
              <w:jc w:val="right"/>
            </w:pPr>
            <w:r>
              <w:rPr>
                <w:rFonts w:hint="eastAsia" w:ascii="宋体" w:hAnsi="宋体" w:eastAsia="宋体" w:cs="宋体"/>
                <w:i w:val="0"/>
                <w:caps w:val="0"/>
                <w:color w:val="000000"/>
                <w:spacing w:val="0"/>
                <w:sz w:val="24"/>
                <w:szCs w:val="24"/>
                <w:u w:val="none"/>
                <w:bdr w:val="none" w:color="auto" w:sz="0" w:space="0"/>
              </w:rPr>
              <w:t>2019年7月8日</w:t>
            </w:r>
          </w:p>
          <w:p>
            <w:pPr>
              <w:pStyle w:val="2"/>
              <w:keepNext w:val="0"/>
              <w:keepLines w:val="0"/>
              <w:widowControl/>
              <w:suppressLineNumbers w:val="0"/>
              <w:spacing w:before="0" w:beforeAutospacing="0" w:after="200" w:afterAutospacing="0" w:line="480" w:lineRule="atLeast"/>
              <w:ind w:left="0" w:right="0"/>
              <w:jc w:val="both"/>
              <w:rPr>
                <w:rFonts w:hint="default" w:ascii="Times New Roman" w:hAnsi="Times New Roman" w:cs="Times New Roman"/>
                <w:sz w:val="21"/>
                <w:szCs w:val="21"/>
              </w:rPr>
            </w:pPr>
            <w:r>
              <w:rPr>
                <w:rFonts w:ascii="黑体" w:hAnsi="宋体" w:eastAsia="黑体" w:cs="黑体"/>
                <w:i w:val="0"/>
                <w:caps w:val="0"/>
                <w:color w:val="000000"/>
                <w:spacing w:val="0"/>
                <w:sz w:val="32"/>
                <w:szCs w:val="32"/>
                <w:u w:val="none"/>
              </w:rPr>
              <w:t>附件</w:t>
            </w:r>
            <w:r>
              <w:rPr>
                <w:rFonts w:hint="eastAsia" w:ascii="黑体" w:hAnsi="宋体" w:eastAsia="黑体" w:cs="黑体"/>
                <w:i w:val="0"/>
                <w:caps w:val="0"/>
                <w:color w:val="000000"/>
                <w:spacing w:val="0"/>
                <w:sz w:val="32"/>
                <w:szCs w:val="32"/>
                <w:u w:val="none"/>
              </w:rPr>
              <w:t>1</w:t>
            </w:r>
          </w:p>
          <w:p>
            <w:pPr>
              <w:pStyle w:val="2"/>
              <w:keepNext w:val="0"/>
              <w:keepLines w:val="0"/>
              <w:widowControl/>
              <w:suppressLineNumbers w:val="0"/>
              <w:spacing w:before="0" w:beforeAutospacing="0" w:after="200" w:afterAutospacing="0" w:line="480" w:lineRule="atLeast"/>
              <w:ind w:left="0" w:right="0"/>
              <w:jc w:val="center"/>
              <w:rPr>
                <w:rFonts w:hint="default" w:ascii="Times New Roman" w:hAnsi="Times New Roman" w:cs="Times New Roman"/>
                <w:sz w:val="21"/>
                <w:szCs w:val="21"/>
              </w:rPr>
            </w:pPr>
            <w:bookmarkStart w:id="0" w:name="_GoBack"/>
            <w:r>
              <w:rPr>
                <w:rFonts w:ascii="方正小标宋简体" w:hAnsi="方正小标宋简体" w:eastAsia="方正小标宋简体" w:cs="方正小标宋简体"/>
                <w:i w:val="0"/>
                <w:caps w:val="0"/>
                <w:color w:val="000000"/>
                <w:spacing w:val="0"/>
                <w:sz w:val="36"/>
                <w:szCs w:val="36"/>
                <w:u w:val="none"/>
              </w:rPr>
              <w:t>河南省疾病预防控制中心</w:t>
            </w:r>
          </w:p>
          <w:p>
            <w:pPr>
              <w:pStyle w:val="2"/>
              <w:keepNext w:val="0"/>
              <w:keepLines w:val="0"/>
              <w:widowControl/>
              <w:suppressLineNumbers w:val="0"/>
              <w:spacing w:before="0" w:beforeAutospacing="0" w:after="200" w:afterAutospacing="0" w:line="480" w:lineRule="atLeast"/>
              <w:ind w:left="0" w:right="0"/>
              <w:jc w:val="center"/>
              <w:rPr>
                <w:rFonts w:hint="default" w:ascii="Times New Roman" w:hAnsi="Times New Roman" w:cs="Times New Roman"/>
                <w:sz w:val="21"/>
                <w:szCs w:val="21"/>
              </w:rPr>
            </w:pPr>
            <w:r>
              <w:rPr>
                <w:rFonts w:hint="eastAsia" w:ascii="方正小标宋简体" w:hAnsi="方正小标宋简体" w:eastAsia="方正小标宋简体" w:cs="方正小标宋简体"/>
                <w:i w:val="0"/>
                <w:caps w:val="0"/>
                <w:color w:val="000000"/>
                <w:spacing w:val="0"/>
                <w:sz w:val="36"/>
                <w:szCs w:val="36"/>
                <w:u w:val="none"/>
              </w:rPr>
              <w:t>2019年公开招聘工作人员一览表</w:t>
            </w:r>
          </w:p>
          <w:bookmarkEnd w:id="0"/>
          <w:tbl>
            <w:tblPr>
              <w:tblW w:w="918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540"/>
              <w:gridCol w:w="2340"/>
              <w:gridCol w:w="676"/>
              <w:gridCol w:w="3464"/>
              <w:gridCol w:w="2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54" w:hRule="atLeast"/>
              </w:trPr>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b/>
                      <w:color w:val="0C0C0C"/>
                      <w:sz w:val="24"/>
                      <w:szCs w:val="24"/>
                    </w:rPr>
                    <w:t>序号</w:t>
                  </w:r>
                </w:p>
              </w:tc>
              <w:tc>
                <w:tcPr>
                  <w:tcW w:w="2340" w:type="dxa"/>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b/>
                      <w:color w:val="0C0C0C"/>
                      <w:sz w:val="24"/>
                      <w:szCs w:val="24"/>
                    </w:rPr>
                    <w:t>专 业</w:t>
                  </w:r>
                </w:p>
              </w:tc>
              <w:tc>
                <w:tcPr>
                  <w:tcW w:w="676" w:type="dxa"/>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b/>
                      <w:color w:val="0C0C0C"/>
                      <w:sz w:val="24"/>
                      <w:szCs w:val="24"/>
                    </w:rPr>
                    <w:t>人数</w:t>
                  </w:r>
                </w:p>
              </w:tc>
              <w:tc>
                <w:tcPr>
                  <w:tcW w:w="3464" w:type="dxa"/>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b/>
                      <w:color w:val="0C0C0C"/>
                      <w:sz w:val="24"/>
                      <w:szCs w:val="24"/>
                    </w:rPr>
                    <w:t>学 历 要 求</w:t>
                  </w:r>
                </w:p>
              </w:tc>
              <w:tc>
                <w:tcPr>
                  <w:tcW w:w="2160" w:type="dxa"/>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b/>
                      <w:color w:val="0C0C0C"/>
                      <w:sz w:val="24"/>
                      <w:szCs w:val="24"/>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9" w:hRule="atLeast"/>
              </w:trPr>
              <w:tc>
                <w:tcPr>
                  <w:tcW w:w="54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textAlignment w:val="center"/>
                    <w:rPr>
                      <w:rFonts w:hint="default" w:ascii="Times New Roman" w:hAnsi="Times New Roman" w:cs="Times New Roman"/>
                      <w:sz w:val="21"/>
                      <w:szCs w:val="21"/>
                    </w:rPr>
                  </w:pPr>
                  <w:r>
                    <w:rPr>
                      <w:rFonts w:ascii="Calibri" w:hAnsi="Calibri" w:cs="Calibri"/>
                      <w:color w:val="000000"/>
                      <w:sz w:val="24"/>
                      <w:szCs w:val="24"/>
                    </w:rPr>
                    <w:t>1</w:t>
                  </w:r>
                </w:p>
              </w:tc>
              <w:tc>
                <w:tcPr>
                  <w:tcW w:w="234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2"/>
                      <w:szCs w:val="22"/>
                    </w:rPr>
                    <w:t>流行病学与卫生统计</w:t>
                  </w:r>
                </w:p>
              </w:tc>
              <w:tc>
                <w:tcPr>
                  <w:tcW w:w="676"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22"/>
                      <w:szCs w:val="22"/>
                    </w:rPr>
                    <w:t>8</w:t>
                  </w:r>
                </w:p>
              </w:tc>
              <w:tc>
                <w:tcPr>
                  <w:tcW w:w="3464"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22"/>
                      <w:szCs w:val="22"/>
                    </w:rPr>
                    <w:t>1.</w:t>
                  </w:r>
                  <w:r>
                    <w:rPr>
                      <w:rFonts w:hint="eastAsia" w:ascii="宋体" w:hAnsi="宋体" w:eastAsia="宋体" w:cs="宋体"/>
                      <w:color w:val="000000"/>
                      <w:sz w:val="22"/>
                      <w:szCs w:val="22"/>
                    </w:rPr>
                    <w:t>普通高等教育博士研究生</w:t>
                  </w:r>
                  <w:r>
                    <w:rPr>
                      <w:rFonts w:hint="default" w:ascii="Times New Roman" w:hAnsi="Times New Roman" w:cs="Times New Roman"/>
                      <w:color w:val="000000"/>
                      <w:sz w:val="22"/>
                      <w:szCs w:val="22"/>
                    </w:rPr>
                    <w:t>2</w:t>
                  </w:r>
                  <w:r>
                    <w:rPr>
                      <w:rFonts w:hint="eastAsia" w:ascii="宋体" w:hAnsi="宋体" w:eastAsia="宋体" w:cs="宋体"/>
                      <w:color w:val="000000"/>
                      <w:sz w:val="22"/>
                      <w:szCs w:val="22"/>
                    </w:rPr>
                    <w:t>名</w:t>
                  </w:r>
                  <w:r>
                    <w:rPr>
                      <w:rFonts w:hint="default" w:ascii="Times New Roman" w:hAnsi="Times New Roman" w:cs="Times New Roman"/>
                      <w:color w:val="000000"/>
                      <w:sz w:val="22"/>
                      <w:szCs w:val="22"/>
                    </w:rPr>
                    <w:br w:type="textWrapping"/>
                  </w:r>
                  <w:r>
                    <w:rPr>
                      <w:rFonts w:hint="default" w:ascii="Times New Roman" w:hAnsi="Times New Roman" w:cs="Times New Roman"/>
                      <w:color w:val="000000"/>
                      <w:sz w:val="22"/>
                      <w:szCs w:val="22"/>
                    </w:rPr>
                    <w:t>2.</w:t>
                  </w:r>
                  <w:r>
                    <w:rPr>
                      <w:rFonts w:hint="eastAsia" w:ascii="宋体" w:hAnsi="宋体" w:eastAsia="宋体" w:cs="宋体"/>
                      <w:color w:val="000000"/>
                      <w:sz w:val="22"/>
                      <w:szCs w:val="22"/>
                    </w:rPr>
                    <w:t>普通高等教育硕士研究生</w:t>
                  </w:r>
                  <w:r>
                    <w:rPr>
                      <w:rFonts w:hint="default" w:ascii="Times New Roman" w:hAnsi="Times New Roman" w:cs="Times New Roman"/>
                      <w:color w:val="000000"/>
                      <w:sz w:val="22"/>
                      <w:szCs w:val="22"/>
                    </w:rPr>
                    <w:t>6</w:t>
                  </w:r>
                  <w:r>
                    <w:rPr>
                      <w:rFonts w:hint="eastAsia" w:ascii="宋体" w:hAnsi="宋体" w:eastAsia="宋体" w:cs="宋体"/>
                      <w:color w:val="000000"/>
                      <w:sz w:val="22"/>
                      <w:szCs w:val="22"/>
                    </w:rPr>
                    <w:t>名</w:t>
                  </w:r>
                </w:p>
              </w:tc>
              <w:tc>
                <w:tcPr>
                  <w:tcW w:w="2160" w:type="dxa"/>
                  <w:vMerge w:val="restart"/>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left"/>
                    <w:textAlignment w:val="center"/>
                    <w:rPr>
                      <w:rFonts w:hint="default" w:ascii="Times New Roman" w:hAnsi="Times New Roman" w:cs="Times New Roman"/>
                      <w:sz w:val="21"/>
                      <w:szCs w:val="21"/>
                    </w:rPr>
                  </w:pPr>
                  <w:r>
                    <w:rPr>
                      <w:rFonts w:hint="eastAsia" w:ascii="宋体" w:hAnsi="宋体" w:eastAsia="宋体" w:cs="宋体"/>
                      <w:color w:val="000000"/>
                      <w:sz w:val="22"/>
                      <w:szCs w:val="22"/>
                    </w:rPr>
                    <w:t>1.学历要求：普通高等教育博士、硕士研究生，第一学历为普通高等教育本科。</w:t>
                  </w:r>
                </w:p>
                <w:p>
                  <w:pPr>
                    <w:pStyle w:val="2"/>
                    <w:keepNext w:val="0"/>
                    <w:keepLines w:val="0"/>
                    <w:widowControl/>
                    <w:suppressLineNumbers w:val="0"/>
                    <w:spacing w:before="0" w:beforeAutospacing="0" w:after="0" w:afterAutospacing="0" w:line="294" w:lineRule="atLeast"/>
                    <w:ind w:left="0" w:right="0"/>
                    <w:jc w:val="left"/>
                    <w:textAlignment w:val="center"/>
                    <w:rPr>
                      <w:rFonts w:hint="default" w:ascii="Times New Roman" w:hAnsi="Times New Roman" w:cs="Times New Roman"/>
                      <w:sz w:val="21"/>
                      <w:szCs w:val="21"/>
                    </w:rPr>
                  </w:pPr>
                  <w:r>
                    <w:rPr>
                      <w:rFonts w:hint="eastAsia" w:ascii="宋体" w:hAnsi="宋体" w:eastAsia="宋体" w:cs="宋体"/>
                      <w:color w:val="000000"/>
                      <w:sz w:val="22"/>
                      <w:szCs w:val="22"/>
                    </w:rPr>
                    <w:t>2.专业要求：最高学历专业要与报考专业一致或相近。</w:t>
                  </w:r>
                </w:p>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3.年龄要求：博士研究生适当放宽；硕士研究生、本科毕业生，一般在30岁以下（1989年1月1日以后出生）。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9" w:hRule="atLeast"/>
              </w:trPr>
              <w:tc>
                <w:tcPr>
                  <w:tcW w:w="54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textAlignment w:val="center"/>
                    <w:rPr>
                      <w:rFonts w:hint="default" w:ascii="Times New Roman" w:hAnsi="Times New Roman" w:cs="Times New Roman"/>
                      <w:sz w:val="21"/>
                      <w:szCs w:val="21"/>
                    </w:rPr>
                  </w:pPr>
                  <w:r>
                    <w:rPr>
                      <w:rFonts w:hint="default" w:ascii="Calibri" w:hAnsi="Calibri" w:cs="Calibri"/>
                      <w:color w:val="000000"/>
                      <w:sz w:val="24"/>
                      <w:szCs w:val="24"/>
                    </w:rPr>
                    <w:t>2</w:t>
                  </w:r>
                </w:p>
              </w:tc>
              <w:tc>
                <w:tcPr>
                  <w:tcW w:w="234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公共卫生</w:t>
                  </w:r>
                </w:p>
              </w:tc>
              <w:tc>
                <w:tcPr>
                  <w:tcW w:w="676"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22"/>
                      <w:szCs w:val="22"/>
                    </w:rPr>
                    <w:t>5</w:t>
                  </w:r>
                </w:p>
              </w:tc>
              <w:tc>
                <w:tcPr>
                  <w:tcW w:w="3464"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22"/>
                      <w:szCs w:val="22"/>
                    </w:rPr>
                    <w:t>1.</w:t>
                  </w:r>
                  <w:r>
                    <w:rPr>
                      <w:rFonts w:hint="eastAsia" w:ascii="宋体" w:hAnsi="宋体" w:eastAsia="宋体" w:cs="宋体"/>
                      <w:color w:val="000000"/>
                      <w:sz w:val="22"/>
                      <w:szCs w:val="22"/>
                    </w:rPr>
                    <w:t>普通高等教育博士研究生</w:t>
                  </w:r>
                  <w:r>
                    <w:rPr>
                      <w:rFonts w:hint="default" w:ascii="Times New Roman" w:hAnsi="Times New Roman" w:cs="Times New Roman"/>
                      <w:color w:val="000000"/>
                      <w:sz w:val="22"/>
                      <w:szCs w:val="22"/>
                    </w:rPr>
                    <w:t>1</w:t>
                  </w:r>
                  <w:r>
                    <w:rPr>
                      <w:rFonts w:hint="eastAsia" w:ascii="宋体" w:hAnsi="宋体" w:eastAsia="宋体" w:cs="宋体"/>
                      <w:color w:val="000000"/>
                      <w:sz w:val="22"/>
                      <w:szCs w:val="22"/>
                    </w:rPr>
                    <w:t>名</w:t>
                  </w:r>
                  <w:r>
                    <w:rPr>
                      <w:rFonts w:hint="default" w:ascii="Times New Roman" w:hAnsi="Times New Roman" w:cs="Times New Roman"/>
                      <w:color w:val="000000"/>
                      <w:sz w:val="22"/>
                      <w:szCs w:val="22"/>
                    </w:rPr>
                    <w:br w:type="textWrapping"/>
                  </w:r>
                  <w:r>
                    <w:rPr>
                      <w:rFonts w:hint="default" w:ascii="Times New Roman" w:hAnsi="Times New Roman" w:cs="Times New Roman"/>
                      <w:color w:val="000000"/>
                      <w:sz w:val="22"/>
                      <w:szCs w:val="22"/>
                    </w:rPr>
                    <w:t>2.</w:t>
                  </w:r>
                  <w:r>
                    <w:rPr>
                      <w:rFonts w:hint="eastAsia" w:ascii="宋体" w:hAnsi="宋体" w:eastAsia="宋体" w:cs="宋体"/>
                      <w:color w:val="000000"/>
                      <w:sz w:val="22"/>
                      <w:szCs w:val="22"/>
                    </w:rPr>
                    <w:t>普通高等教育硕士研究生</w:t>
                  </w:r>
                  <w:r>
                    <w:rPr>
                      <w:rFonts w:hint="default" w:ascii="Times New Roman" w:hAnsi="Times New Roman" w:cs="Times New Roman"/>
                      <w:color w:val="000000"/>
                      <w:sz w:val="22"/>
                      <w:szCs w:val="22"/>
                    </w:rPr>
                    <w:t>4</w:t>
                  </w:r>
                  <w:r>
                    <w:rPr>
                      <w:rFonts w:hint="eastAsia" w:ascii="宋体" w:hAnsi="宋体" w:eastAsia="宋体" w:cs="宋体"/>
                      <w:color w:val="000000"/>
                      <w:sz w:val="22"/>
                      <w:szCs w:val="22"/>
                    </w:rPr>
                    <w:t>名</w:t>
                  </w:r>
                </w:p>
              </w:tc>
              <w:tc>
                <w:tcPr>
                  <w:tcW w:w="2160"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4" w:hRule="atLeast"/>
              </w:trPr>
              <w:tc>
                <w:tcPr>
                  <w:tcW w:w="54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textAlignment w:val="center"/>
                    <w:rPr>
                      <w:rFonts w:hint="default" w:ascii="Times New Roman" w:hAnsi="Times New Roman" w:cs="Times New Roman"/>
                      <w:sz w:val="21"/>
                      <w:szCs w:val="21"/>
                    </w:rPr>
                  </w:pPr>
                  <w:r>
                    <w:rPr>
                      <w:rFonts w:hint="default" w:ascii="Calibri" w:hAnsi="Calibri" w:cs="Calibri"/>
                      <w:color w:val="000000"/>
                      <w:sz w:val="24"/>
                      <w:szCs w:val="24"/>
                    </w:rPr>
                    <w:t>3</w:t>
                  </w:r>
                </w:p>
              </w:tc>
              <w:tc>
                <w:tcPr>
                  <w:tcW w:w="234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环境卫生</w:t>
                  </w:r>
                </w:p>
              </w:tc>
              <w:tc>
                <w:tcPr>
                  <w:tcW w:w="676"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22"/>
                      <w:szCs w:val="22"/>
                    </w:rPr>
                    <w:t>2</w:t>
                  </w:r>
                </w:p>
              </w:tc>
              <w:tc>
                <w:tcPr>
                  <w:tcW w:w="3464"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22"/>
                      <w:szCs w:val="22"/>
                    </w:rPr>
                    <w:t>1.</w:t>
                  </w:r>
                  <w:r>
                    <w:rPr>
                      <w:rFonts w:hint="eastAsia" w:ascii="宋体" w:hAnsi="宋体" w:eastAsia="宋体" w:cs="宋体"/>
                      <w:color w:val="000000"/>
                      <w:sz w:val="22"/>
                      <w:szCs w:val="22"/>
                    </w:rPr>
                    <w:t>普通高等教育博士研究生</w:t>
                  </w:r>
                  <w:r>
                    <w:rPr>
                      <w:rFonts w:hint="default" w:ascii="Times New Roman" w:hAnsi="Times New Roman" w:cs="Times New Roman"/>
                      <w:color w:val="000000"/>
                      <w:sz w:val="22"/>
                      <w:szCs w:val="22"/>
                    </w:rPr>
                    <w:t>1</w:t>
                  </w:r>
                  <w:r>
                    <w:rPr>
                      <w:rFonts w:hint="eastAsia" w:ascii="宋体" w:hAnsi="宋体" w:eastAsia="宋体" w:cs="宋体"/>
                      <w:color w:val="000000"/>
                      <w:sz w:val="22"/>
                      <w:szCs w:val="22"/>
                    </w:rPr>
                    <w:t>名</w:t>
                  </w:r>
                  <w:r>
                    <w:rPr>
                      <w:rFonts w:hint="default" w:ascii="Times New Roman" w:hAnsi="Times New Roman" w:cs="Times New Roman"/>
                      <w:color w:val="000000"/>
                      <w:sz w:val="22"/>
                      <w:szCs w:val="22"/>
                    </w:rPr>
                    <w:br w:type="textWrapping"/>
                  </w:r>
                  <w:r>
                    <w:rPr>
                      <w:rFonts w:hint="default" w:ascii="Times New Roman" w:hAnsi="Times New Roman" w:cs="Times New Roman"/>
                      <w:color w:val="000000"/>
                      <w:sz w:val="22"/>
                      <w:szCs w:val="22"/>
                    </w:rPr>
                    <w:t>2.</w:t>
                  </w:r>
                  <w:r>
                    <w:rPr>
                      <w:rFonts w:hint="eastAsia" w:ascii="宋体" w:hAnsi="宋体" w:eastAsia="宋体" w:cs="宋体"/>
                      <w:color w:val="000000"/>
                      <w:sz w:val="22"/>
                      <w:szCs w:val="22"/>
                    </w:rPr>
                    <w:t>普通高等教育硕士研究生</w:t>
                  </w:r>
                  <w:r>
                    <w:rPr>
                      <w:rFonts w:hint="default" w:ascii="Times New Roman" w:hAnsi="Times New Roman" w:cs="Times New Roman"/>
                      <w:color w:val="000000"/>
                      <w:sz w:val="22"/>
                      <w:szCs w:val="22"/>
                    </w:rPr>
                    <w:t>1</w:t>
                  </w:r>
                  <w:r>
                    <w:rPr>
                      <w:rFonts w:hint="eastAsia" w:ascii="宋体" w:hAnsi="宋体" w:eastAsia="宋体" w:cs="宋体"/>
                      <w:color w:val="000000"/>
                      <w:sz w:val="22"/>
                      <w:szCs w:val="22"/>
                    </w:rPr>
                    <w:t>名</w:t>
                  </w:r>
                </w:p>
              </w:tc>
              <w:tc>
                <w:tcPr>
                  <w:tcW w:w="2160"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4" w:hRule="atLeast"/>
              </w:trPr>
              <w:tc>
                <w:tcPr>
                  <w:tcW w:w="54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textAlignment w:val="center"/>
                    <w:rPr>
                      <w:rFonts w:hint="default" w:ascii="Times New Roman" w:hAnsi="Times New Roman" w:cs="Times New Roman"/>
                      <w:sz w:val="21"/>
                      <w:szCs w:val="21"/>
                    </w:rPr>
                  </w:pPr>
                  <w:r>
                    <w:rPr>
                      <w:rFonts w:hint="default" w:ascii="Calibri" w:hAnsi="Calibri" w:cs="Calibri"/>
                      <w:color w:val="000000"/>
                      <w:sz w:val="24"/>
                      <w:szCs w:val="24"/>
                    </w:rPr>
                    <w:t>4</w:t>
                  </w:r>
                </w:p>
              </w:tc>
              <w:tc>
                <w:tcPr>
                  <w:tcW w:w="234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营养与食品卫生</w:t>
                  </w:r>
                </w:p>
              </w:tc>
              <w:tc>
                <w:tcPr>
                  <w:tcW w:w="676"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22"/>
                      <w:szCs w:val="22"/>
                    </w:rPr>
                    <w:t>1</w:t>
                  </w:r>
                </w:p>
              </w:tc>
              <w:tc>
                <w:tcPr>
                  <w:tcW w:w="3464"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普通高等教育硕士研究生</w:t>
                  </w:r>
                </w:p>
              </w:tc>
              <w:tc>
                <w:tcPr>
                  <w:tcW w:w="2160"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4" w:hRule="atLeast"/>
              </w:trPr>
              <w:tc>
                <w:tcPr>
                  <w:tcW w:w="54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textAlignment w:val="center"/>
                    <w:rPr>
                      <w:rFonts w:hint="default" w:ascii="Times New Roman" w:hAnsi="Times New Roman" w:cs="Times New Roman"/>
                      <w:sz w:val="21"/>
                      <w:szCs w:val="21"/>
                    </w:rPr>
                  </w:pPr>
                  <w:r>
                    <w:rPr>
                      <w:rFonts w:hint="default" w:ascii="Calibri" w:hAnsi="Calibri" w:cs="Calibri"/>
                      <w:color w:val="000000"/>
                      <w:sz w:val="24"/>
                      <w:szCs w:val="24"/>
                    </w:rPr>
                    <w:t>5</w:t>
                  </w:r>
                </w:p>
              </w:tc>
              <w:tc>
                <w:tcPr>
                  <w:tcW w:w="234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卫生事业管理</w:t>
                  </w:r>
                </w:p>
              </w:tc>
              <w:tc>
                <w:tcPr>
                  <w:tcW w:w="676"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22"/>
                      <w:szCs w:val="22"/>
                    </w:rPr>
                    <w:t>1</w:t>
                  </w:r>
                </w:p>
              </w:tc>
              <w:tc>
                <w:tcPr>
                  <w:tcW w:w="3464"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普通高等教育硕士研究生</w:t>
                  </w:r>
                </w:p>
              </w:tc>
              <w:tc>
                <w:tcPr>
                  <w:tcW w:w="2160"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4" w:hRule="atLeast"/>
              </w:trPr>
              <w:tc>
                <w:tcPr>
                  <w:tcW w:w="54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textAlignment w:val="center"/>
                    <w:rPr>
                      <w:rFonts w:hint="default" w:ascii="Times New Roman" w:hAnsi="Times New Roman" w:cs="Times New Roman"/>
                      <w:sz w:val="21"/>
                      <w:szCs w:val="21"/>
                    </w:rPr>
                  </w:pPr>
                  <w:r>
                    <w:rPr>
                      <w:rFonts w:hint="default" w:ascii="Calibri" w:hAnsi="Calibri" w:cs="Calibri"/>
                      <w:color w:val="000000"/>
                      <w:sz w:val="24"/>
                      <w:szCs w:val="24"/>
                    </w:rPr>
                    <w:t>6</w:t>
                  </w:r>
                </w:p>
              </w:tc>
              <w:tc>
                <w:tcPr>
                  <w:tcW w:w="234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color w:val="000000"/>
                      <w:sz w:val="22"/>
                      <w:szCs w:val="22"/>
                    </w:rPr>
                    <w:t>生物化学与分子生物学</w:t>
                  </w:r>
                </w:p>
              </w:tc>
              <w:tc>
                <w:tcPr>
                  <w:tcW w:w="676"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22"/>
                      <w:szCs w:val="22"/>
                    </w:rPr>
                    <w:t>2</w:t>
                  </w:r>
                </w:p>
              </w:tc>
              <w:tc>
                <w:tcPr>
                  <w:tcW w:w="3464"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22"/>
                      <w:szCs w:val="22"/>
                    </w:rPr>
                    <w:t>1.</w:t>
                  </w:r>
                  <w:r>
                    <w:rPr>
                      <w:rFonts w:hint="eastAsia" w:ascii="宋体" w:hAnsi="宋体" w:eastAsia="宋体" w:cs="宋体"/>
                      <w:color w:val="000000"/>
                      <w:sz w:val="22"/>
                      <w:szCs w:val="22"/>
                    </w:rPr>
                    <w:t>普通高等教育博士研究生</w:t>
                  </w:r>
                  <w:r>
                    <w:rPr>
                      <w:rFonts w:hint="default" w:ascii="Times New Roman" w:hAnsi="Times New Roman" w:cs="Times New Roman"/>
                      <w:color w:val="000000"/>
                      <w:sz w:val="22"/>
                      <w:szCs w:val="22"/>
                    </w:rPr>
                    <w:t>1</w:t>
                  </w:r>
                  <w:r>
                    <w:rPr>
                      <w:rFonts w:hint="eastAsia" w:ascii="宋体" w:hAnsi="宋体" w:eastAsia="宋体" w:cs="宋体"/>
                      <w:color w:val="000000"/>
                      <w:sz w:val="22"/>
                      <w:szCs w:val="22"/>
                    </w:rPr>
                    <w:t>名</w:t>
                  </w:r>
                  <w:r>
                    <w:rPr>
                      <w:rFonts w:hint="default" w:ascii="Times New Roman" w:hAnsi="Times New Roman" w:cs="Times New Roman"/>
                      <w:color w:val="000000"/>
                      <w:sz w:val="22"/>
                      <w:szCs w:val="22"/>
                    </w:rPr>
                    <w:br w:type="textWrapping"/>
                  </w:r>
                  <w:r>
                    <w:rPr>
                      <w:rFonts w:hint="default" w:ascii="Times New Roman" w:hAnsi="Times New Roman" w:cs="Times New Roman"/>
                      <w:color w:val="000000"/>
                      <w:sz w:val="22"/>
                      <w:szCs w:val="22"/>
                    </w:rPr>
                    <w:t>2.</w:t>
                  </w:r>
                  <w:r>
                    <w:rPr>
                      <w:rFonts w:hint="eastAsia" w:ascii="宋体" w:hAnsi="宋体" w:eastAsia="宋体" w:cs="宋体"/>
                      <w:color w:val="000000"/>
                      <w:sz w:val="22"/>
                      <w:szCs w:val="22"/>
                    </w:rPr>
                    <w:t>普通高等教育硕士研究生</w:t>
                  </w:r>
                  <w:r>
                    <w:rPr>
                      <w:rFonts w:hint="default" w:ascii="Times New Roman" w:hAnsi="Times New Roman" w:cs="Times New Roman"/>
                      <w:color w:val="000000"/>
                      <w:sz w:val="22"/>
                      <w:szCs w:val="22"/>
                    </w:rPr>
                    <w:t>1</w:t>
                  </w:r>
                  <w:r>
                    <w:rPr>
                      <w:rFonts w:hint="eastAsia" w:ascii="宋体" w:hAnsi="宋体" w:eastAsia="宋体" w:cs="宋体"/>
                      <w:color w:val="000000"/>
                      <w:sz w:val="22"/>
                      <w:szCs w:val="22"/>
                    </w:rPr>
                    <w:t>名</w:t>
                  </w:r>
                </w:p>
              </w:tc>
              <w:tc>
                <w:tcPr>
                  <w:tcW w:w="2160"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4" w:hRule="atLeast"/>
              </w:trPr>
              <w:tc>
                <w:tcPr>
                  <w:tcW w:w="54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textAlignment w:val="center"/>
                    <w:rPr>
                      <w:rFonts w:hint="default" w:ascii="Times New Roman" w:hAnsi="Times New Roman" w:cs="Times New Roman"/>
                      <w:sz w:val="21"/>
                      <w:szCs w:val="21"/>
                    </w:rPr>
                  </w:pPr>
                  <w:r>
                    <w:rPr>
                      <w:rFonts w:hint="default" w:ascii="Calibri" w:hAnsi="Calibri" w:cs="Calibri"/>
                      <w:color w:val="000000"/>
                      <w:sz w:val="24"/>
                      <w:szCs w:val="24"/>
                    </w:rPr>
                    <w:t>7</w:t>
                  </w:r>
                </w:p>
              </w:tc>
              <w:tc>
                <w:tcPr>
                  <w:tcW w:w="234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病原微生物学</w:t>
                  </w:r>
                </w:p>
              </w:tc>
              <w:tc>
                <w:tcPr>
                  <w:tcW w:w="676"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22"/>
                      <w:szCs w:val="22"/>
                    </w:rPr>
                    <w:t>2</w:t>
                  </w:r>
                </w:p>
              </w:tc>
              <w:tc>
                <w:tcPr>
                  <w:tcW w:w="3464"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普通高等教育硕士研究生</w:t>
                  </w:r>
                </w:p>
              </w:tc>
              <w:tc>
                <w:tcPr>
                  <w:tcW w:w="2160"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4" w:hRule="atLeast"/>
              </w:trPr>
              <w:tc>
                <w:tcPr>
                  <w:tcW w:w="54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textAlignment w:val="center"/>
                    <w:rPr>
                      <w:rFonts w:hint="default" w:ascii="Times New Roman" w:hAnsi="Times New Roman" w:cs="Times New Roman"/>
                      <w:sz w:val="21"/>
                      <w:szCs w:val="21"/>
                    </w:rPr>
                  </w:pPr>
                  <w:r>
                    <w:rPr>
                      <w:rFonts w:hint="default" w:ascii="Calibri" w:hAnsi="Calibri" w:cs="Calibri"/>
                      <w:color w:val="000000"/>
                      <w:sz w:val="24"/>
                      <w:szCs w:val="24"/>
                    </w:rPr>
                    <w:t>8</w:t>
                  </w:r>
                </w:p>
              </w:tc>
              <w:tc>
                <w:tcPr>
                  <w:tcW w:w="234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微生物学</w:t>
                  </w:r>
                </w:p>
              </w:tc>
              <w:tc>
                <w:tcPr>
                  <w:tcW w:w="676"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22"/>
                      <w:szCs w:val="22"/>
                    </w:rPr>
                    <w:t>2</w:t>
                  </w:r>
                </w:p>
              </w:tc>
              <w:tc>
                <w:tcPr>
                  <w:tcW w:w="3464"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22"/>
                      <w:szCs w:val="22"/>
                    </w:rPr>
                    <w:t>1.</w:t>
                  </w:r>
                  <w:r>
                    <w:rPr>
                      <w:rFonts w:hint="eastAsia" w:ascii="宋体" w:hAnsi="宋体" w:eastAsia="宋体" w:cs="宋体"/>
                      <w:color w:val="000000"/>
                      <w:sz w:val="22"/>
                      <w:szCs w:val="22"/>
                    </w:rPr>
                    <w:t>普通高等教育博士研究生</w:t>
                  </w:r>
                  <w:r>
                    <w:rPr>
                      <w:rFonts w:hint="default" w:ascii="Times New Roman" w:hAnsi="Times New Roman" w:cs="Times New Roman"/>
                      <w:color w:val="000000"/>
                      <w:sz w:val="22"/>
                      <w:szCs w:val="22"/>
                    </w:rPr>
                    <w:t>1</w:t>
                  </w:r>
                  <w:r>
                    <w:rPr>
                      <w:rFonts w:hint="eastAsia" w:ascii="宋体" w:hAnsi="宋体" w:eastAsia="宋体" w:cs="宋体"/>
                      <w:color w:val="000000"/>
                      <w:sz w:val="22"/>
                      <w:szCs w:val="22"/>
                    </w:rPr>
                    <w:t>名</w:t>
                  </w:r>
                  <w:r>
                    <w:rPr>
                      <w:rFonts w:hint="default" w:ascii="Times New Roman" w:hAnsi="Times New Roman" w:cs="Times New Roman"/>
                      <w:color w:val="000000"/>
                      <w:sz w:val="22"/>
                      <w:szCs w:val="22"/>
                    </w:rPr>
                    <w:br w:type="textWrapping"/>
                  </w:r>
                  <w:r>
                    <w:rPr>
                      <w:rFonts w:hint="default" w:ascii="Times New Roman" w:hAnsi="Times New Roman" w:cs="Times New Roman"/>
                      <w:color w:val="000000"/>
                      <w:sz w:val="22"/>
                      <w:szCs w:val="22"/>
                    </w:rPr>
                    <w:t>2.</w:t>
                  </w:r>
                  <w:r>
                    <w:rPr>
                      <w:rFonts w:hint="eastAsia" w:ascii="宋体" w:hAnsi="宋体" w:eastAsia="宋体" w:cs="宋体"/>
                      <w:color w:val="000000"/>
                      <w:sz w:val="22"/>
                      <w:szCs w:val="22"/>
                    </w:rPr>
                    <w:t>普通高等教育硕士研究生</w:t>
                  </w:r>
                  <w:r>
                    <w:rPr>
                      <w:rFonts w:hint="default" w:ascii="Times New Roman" w:hAnsi="Times New Roman" w:cs="Times New Roman"/>
                      <w:color w:val="000000"/>
                      <w:sz w:val="22"/>
                      <w:szCs w:val="22"/>
                    </w:rPr>
                    <w:t>1</w:t>
                  </w:r>
                  <w:r>
                    <w:rPr>
                      <w:rFonts w:hint="eastAsia" w:ascii="宋体" w:hAnsi="宋体" w:eastAsia="宋体" w:cs="宋体"/>
                      <w:color w:val="000000"/>
                      <w:sz w:val="22"/>
                      <w:szCs w:val="22"/>
                    </w:rPr>
                    <w:t>名</w:t>
                  </w:r>
                </w:p>
              </w:tc>
              <w:tc>
                <w:tcPr>
                  <w:tcW w:w="2160"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4" w:hRule="atLeast"/>
              </w:trPr>
              <w:tc>
                <w:tcPr>
                  <w:tcW w:w="54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textAlignment w:val="center"/>
                    <w:rPr>
                      <w:rFonts w:hint="default" w:ascii="Times New Roman" w:hAnsi="Times New Roman" w:cs="Times New Roman"/>
                      <w:sz w:val="21"/>
                      <w:szCs w:val="21"/>
                    </w:rPr>
                  </w:pPr>
                  <w:r>
                    <w:rPr>
                      <w:rFonts w:hint="default" w:ascii="Calibri" w:hAnsi="Calibri" w:cs="Calibri"/>
                      <w:color w:val="000000"/>
                      <w:sz w:val="24"/>
                      <w:szCs w:val="24"/>
                    </w:rPr>
                    <w:t>9</w:t>
                  </w:r>
                </w:p>
              </w:tc>
              <w:tc>
                <w:tcPr>
                  <w:tcW w:w="234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生物学（昆虫学）</w:t>
                  </w:r>
                </w:p>
              </w:tc>
              <w:tc>
                <w:tcPr>
                  <w:tcW w:w="676"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22"/>
                      <w:szCs w:val="22"/>
                    </w:rPr>
                    <w:t>1</w:t>
                  </w:r>
                </w:p>
              </w:tc>
              <w:tc>
                <w:tcPr>
                  <w:tcW w:w="3464"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普通高等教育硕士研究生</w:t>
                  </w:r>
                </w:p>
              </w:tc>
              <w:tc>
                <w:tcPr>
                  <w:tcW w:w="2160"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4" w:hRule="atLeast"/>
              </w:trPr>
              <w:tc>
                <w:tcPr>
                  <w:tcW w:w="54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textAlignment w:val="center"/>
                    <w:rPr>
                      <w:rFonts w:hint="default" w:ascii="Times New Roman" w:hAnsi="Times New Roman" w:cs="Times New Roman"/>
                      <w:sz w:val="21"/>
                      <w:szCs w:val="21"/>
                    </w:rPr>
                  </w:pPr>
                  <w:r>
                    <w:rPr>
                      <w:rFonts w:hint="default" w:ascii="Calibri" w:hAnsi="Calibri" w:cs="Calibri"/>
                      <w:color w:val="000000"/>
                      <w:sz w:val="24"/>
                      <w:szCs w:val="24"/>
                    </w:rPr>
                    <w:t>10</w:t>
                  </w:r>
                </w:p>
              </w:tc>
              <w:tc>
                <w:tcPr>
                  <w:tcW w:w="234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2"/>
                      <w:szCs w:val="22"/>
                    </w:rPr>
                    <w:t>医学检验</w:t>
                  </w:r>
                </w:p>
              </w:tc>
              <w:tc>
                <w:tcPr>
                  <w:tcW w:w="676"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22"/>
                      <w:szCs w:val="22"/>
                    </w:rPr>
                    <w:t>1</w:t>
                  </w:r>
                </w:p>
              </w:tc>
              <w:tc>
                <w:tcPr>
                  <w:tcW w:w="3464"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普通高等教育硕士研究生</w:t>
                  </w:r>
                </w:p>
              </w:tc>
              <w:tc>
                <w:tcPr>
                  <w:tcW w:w="2160"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4" w:hRule="atLeast"/>
              </w:trPr>
              <w:tc>
                <w:tcPr>
                  <w:tcW w:w="54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textAlignment w:val="center"/>
                    <w:rPr>
                      <w:rFonts w:hint="default" w:ascii="Times New Roman" w:hAnsi="Times New Roman" w:cs="Times New Roman"/>
                      <w:sz w:val="21"/>
                      <w:szCs w:val="21"/>
                    </w:rPr>
                  </w:pPr>
                  <w:r>
                    <w:rPr>
                      <w:rFonts w:hint="default" w:ascii="Calibri" w:hAnsi="Calibri" w:cs="Calibri"/>
                      <w:color w:val="000000"/>
                      <w:sz w:val="24"/>
                      <w:szCs w:val="24"/>
                    </w:rPr>
                    <w:t>11</w:t>
                  </w:r>
                </w:p>
              </w:tc>
              <w:tc>
                <w:tcPr>
                  <w:tcW w:w="234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健康教育和全球健康</w:t>
                  </w:r>
                </w:p>
              </w:tc>
              <w:tc>
                <w:tcPr>
                  <w:tcW w:w="676"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22"/>
                      <w:szCs w:val="22"/>
                    </w:rPr>
                    <w:t>1</w:t>
                  </w:r>
                </w:p>
              </w:tc>
              <w:tc>
                <w:tcPr>
                  <w:tcW w:w="3464"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普通高等教育硕士研究生</w:t>
                  </w:r>
                </w:p>
              </w:tc>
              <w:tc>
                <w:tcPr>
                  <w:tcW w:w="2160"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4" w:hRule="atLeast"/>
              </w:trPr>
              <w:tc>
                <w:tcPr>
                  <w:tcW w:w="54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textAlignment w:val="center"/>
                    <w:rPr>
                      <w:rFonts w:hint="default" w:ascii="Times New Roman" w:hAnsi="Times New Roman" w:cs="Times New Roman"/>
                      <w:sz w:val="21"/>
                      <w:szCs w:val="21"/>
                    </w:rPr>
                  </w:pPr>
                  <w:r>
                    <w:rPr>
                      <w:rFonts w:hint="default" w:ascii="Calibri" w:hAnsi="Calibri" w:cs="Calibri"/>
                      <w:color w:val="000000"/>
                      <w:sz w:val="24"/>
                      <w:szCs w:val="24"/>
                    </w:rPr>
                    <w:t>12</w:t>
                  </w:r>
                </w:p>
              </w:tc>
              <w:tc>
                <w:tcPr>
                  <w:tcW w:w="234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临床医学</w:t>
                  </w:r>
                </w:p>
              </w:tc>
              <w:tc>
                <w:tcPr>
                  <w:tcW w:w="676"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22"/>
                      <w:szCs w:val="22"/>
                    </w:rPr>
                    <w:t>2</w:t>
                  </w:r>
                </w:p>
              </w:tc>
              <w:tc>
                <w:tcPr>
                  <w:tcW w:w="3464"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普通高等教育本科及以上</w:t>
                  </w:r>
                </w:p>
              </w:tc>
              <w:tc>
                <w:tcPr>
                  <w:tcW w:w="2160"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4" w:hRule="atLeast"/>
              </w:trPr>
              <w:tc>
                <w:tcPr>
                  <w:tcW w:w="54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textAlignment w:val="center"/>
                    <w:rPr>
                      <w:rFonts w:hint="default" w:ascii="Times New Roman" w:hAnsi="Times New Roman" w:cs="Times New Roman"/>
                      <w:sz w:val="21"/>
                      <w:szCs w:val="21"/>
                    </w:rPr>
                  </w:pPr>
                  <w:r>
                    <w:rPr>
                      <w:rFonts w:hint="default" w:ascii="Calibri" w:hAnsi="Calibri" w:cs="Calibri"/>
                      <w:color w:val="000000"/>
                      <w:sz w:val="24"/>
                      <w:szCs w:val="24"/>
                    </w:rPr>
                    <w:t>13</w:t>
                  </w:r>
                </w:p>
              </w:tc>
              <w:tc>
                <w:tcPr>
                  <w:tcW w:w="234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汉语言文学</w:t>
                  </w:r>
                </w:p>
              </w:tc>
              <w:tc>
                <w:tcPr>
                  <w:tcW w:w="676"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22"/>
                      <w:szCs w:val="22"/>
                    </w:rPr>
                    <w:t>1</w:t>
                  </w:r>
                </w:p>
              </w:tc>
              <w:tc>
                <w:tcPr>
                  <w:tcW w:w="3464"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普通高等教育本科及以上</w:t>
                  </w:r>
                </w:p>
              </w:tc>
              <w:tc>
                <w:tcPr>
                  <w:tcW w:w="2160"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4" w:hRule="atLeast"/>
              </w:trPr>
              <w:tc>
                <w:tcPr>
                  <w:tcW w:w="54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textAlignment w:val="center"/>
                    <w:rPr>
                      <w:rFonts w:hint="default" w:ascii="Times New Roman" w:hAnsi="Times New Roman" w:cs="Times New Roman"/>
                      <w:sz w:val="21"/>
                      <w:szCs w:val="21"/>
                    </w:rPr>
                  </w:pPr>
                  <w:r>
                    <w:rPr>
                      <w:rFonts w:hint="default" w:ascii="Calibri" w:hAnsi="Calibri" w:cs="Calibri"/>
                      <w:color w:val="000000"/>
                      <w:sz w:val="24"/>
                      <w:szCs w:val="24"/>
                    </w:rPr>
                    <w:t>14</w:t>
                  </w:r>
                </w:p>
              </w:tc>
              <w:tc>
                <w:tcPr>
                  <w:tcW w:w="234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人力资源管理</w:t>
                  </w:r>
                </w:p>
              </w:tc>
              <w:tc>
                <w:tcPr>
                  <w:tcW w:w="676"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22"/>
                      <w:szCs w:val="22"/>
                    </w:rPr>
                    <w:t>1</w:t>
                  </w:r>
                </w:p>
              </w:tc>
              <w:tc>
                <w:tcPr>
                  <w:tcW w:w="3464"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普通高等教育本科及以上</w:t>
                  </w:r>
                </w:p>
              </w:tc>
              <w:tc>
                <w:tcPr>
                  <w:tcW w:w="2160"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4" w:hRule="atLeast"/>
              </w:trPr>
              <w:tc>
                <w:tcPr>
                  <w:tcW w:w="54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textAlignment w:val="center"/>
                    <w:rPr>
                      <w:rFonts w:hint="default" w:ascii="Times New Roman" w:hAnsi="Times New Roman" w:cs="Times New Roman"/>
                      <w:sz w:val="21"/>
                      <w:szCs w:val="21"/>
                    </w:rPr>
                  </w:pPr>
                  <w:r>
                    <w:rPr>
                      <w:rFonts w:hint="default" w:ascii="Calibri" w:hAnsi="Calibri" w:cs="Calibri"/>
                      <w:color w:val="000000"/>
                      <w:sz w:val="24"/>
                      <w:szCs w:val="24"/>
                    </w:rPr>
                    <w:t>15</w:t>
                  </w:r>
                </w:p>
              </w:tc>
              <w:tc>
                <w:tcPr>
                  <w:tcW w:w="234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档案管理</w:t>
                  </w:r>
                </w:p>
              </w:tc>
              <w:tc>
                <w:tcPr>
                  <w:tcW w:w="676"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22"/>
                      <w:szCs w:val="22"/>
                    </w:rPr>
                    <w:t>1</w:t>
                  </w:r>
                </w:p>
              </w:tc>
              <w:tc>
                <w:tcPr>
                  <w:tcW w:w="3464"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普通高等教育本科及以上</w:t>
                  </w:r>
                </w:p>
              </w:tc>
              <w:tc>
                <w:tcPr>
                  <w:tcW w:w="2160"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4" w:hRule="atLeast"/>
              </w:trPr>
              <w:tc>
                <w:tcPr>
                  <w:tcW w:w="54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textAlignment w:val="center"/>
                    <w:rPr>
                      <w:rFonts w:hint="default" w:ascii="Times New Roman" w:hAnsi="Times New Roman" w:cs="Times New Roman"/>
                      <w:sz w:val="21"/>
                      <w:szCs w:val="21"/>
                    </w:rPr>
                  </w:pPr>
                  <w:r>
                    <w:rPr>
                      <w:rFonts w:hint="default" w:ascii="Calibri" w:hAnsi="Calibri" w:cs="Calibri"/>
                      <w:color w:val="000000"/>
                      <w:sz w:val="24"/>
                      <w:szCs w:val="24"/>
                    </w:rPr>
                    <w:t>16</w:t>
                  </w:r>
                </w:p>
              </w:tc>
              <w:tc>
                <w:tcPr>
                  <w:tcW w:w="234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计算机</w:t>
                  </w:r>
                </w:p>
              </w:tc>
              <w:tc>
                <w:tcPr>
                  <w:tcW w:w="676"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22"/>
                      <w:szCs w:val="22"/>
                    </w:rPr>
                    <w:t>1</w:t>
                  </w:r>
                </w:p>
              </w:tc>
              <w:tc>
                <w:tcPr>
                  <w:tcW w:w="3464"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普通高等教育本科及以上</w:t>
                  </w:r>
                </w:p>
              </w:tc>
              <w:tc>
                <w:tcPr>
                  <w:tcW w:w="2160"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4" w:hRule="atLeast"/>
              </w:trPr>
              <w:tc>
                <w:tcPr>
                  <w:tcW w:w="54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textAlignment w:val="center"/>
                    <w:rPr>
                      <w:rFonts w:hint="default" w:ascii="Times New Roman" w:hAnsi="Times New Roman" w:cs="Times New Roman"/>
                      <w:sz w:val="21"/>
                      <w:szCs w:val="21"/>
                    </w:rPr>
                  </w:pPr>
                  <w:r>
                    <w:rPr>
                      <w:rFonts w:hint="default" w:ascii="Calibri" w:hAnsi="Calibri" w:cs="Calibri"/>
                      <w:color w:val="000000"/>
                      <w:sz w:val="24"/>
                      <w:szCs w:val="24"/>
                    </w:rPr>
                    <w:t>17</w:t>
                  </w:r>
                </w:p>
              </w:tc>
              <w:tc>
                <w:tcPr>
                  <w:tcW w:w="234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2"/>
                      <w:szCs w:val="22"/>
                    </w:rPr>
                    <w:t>财会管理</w:t>
                  </w:r>
                </w:p>
              </w:tc>
              <w:tc>
                <w:tcPr>
                  <w:tcW w:w="676"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22"/>
                      <w:szCs w:val="22"/>
                    </w:rPr>
                    <w:t>1</w:t>
                  </w:r>
                </w:p>
              </w:tc>
              <w:tc>
                <w:tcPr>
                  <w:tcW w:w="3464"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普通高等教育本科及以上</w:t>
                  </w:r>
                </w:p>
              </w:tc>
              <w:tc>
                <w:tcPr>
                  <w:tcW w:w="2160"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4" w:hRule="atLeast"/>
              </w:trPr>
              <w:tc>
                <w:tcPr>
                  <w:tcW w:w="54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textAlignment w:val="center"/>
                    <w:rPr>
                      <w:rFonts w:hint="default" w:ascii="Times New Roman" w:hAnsi="Times New Roman" w:cs="Times New Roman"/>
                      <w:sz w:val="21"/>
                      <w:szCs w:val="21"/>
                    </w:rPr>
                  </w:pPr>
                  <w:r>
                    <w:rPr>
                      <w:rFonts w:hint="default" w:ascii="Calibri" w:hAnsi="Calibri" w:cs="Calibri"/>
                      <w:color w:val="000000"/>
                      <w:sz w:val="24"/>
                      <w:szCs w:val="24"/>
                    </w:rPr>
                    <w:t>18</w:t>
                  </w:r>
                </w:p>
              </w:tc>
              <w:tc>
                <w:tcPr>
                  <w:tcW w:w="234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2"/>
                      <w:szCs w:val="22"/>
                    </w:rPr>
                    <w:t>新闻学</w:t>
                  </w:r>
                </w:p>
              </w:tc>
              <w:tc>
                <w:tcPr>
                  <w:tcW w:w="676"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1</w:t>
                  </w:r>
                </w:p>
              </w:tc>
              <w:tc>
                <w:tcPr>
                  <w:tcW w:w="3464"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普通高等教育本科及以上</w:t>
                  </w:r>
                </w:p>
              </w:tc>
              <w:tc>
                <w:tcPr>
                  <w:tcW w:w="2160"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sz w:val="21"/>
                      <w:szCs w:val="21"/>
                    </w:rPr>
                  </w:pPr>
                </w:p>
              </w:tc>
            </w:tr>
          </w:tbl>
          <w:p>
            <w:pPr>
              <w:pStyle w:val="2"/>
              <w:keepNext w:val="0"/>
              <w:keepLines w:val="0"/>
              <w:widowControl/>
              <w:suppressLineNumbers w:val="0"/>
              <w:spacing w:before="0" w:beforeAutospacing="0" w:after="0" w:afterAutospacing="0" w:line="400" w:lineRule="atLeast"/>
              <w:ind w:left="0" w:right="0"/>
              <w:jc w:val="both"/>
              <w:rPr>
                <w:rFonts w:hint="default" w:ascii="Times New Roman" w:hAnsi="Times New Roman" w:cs="Times New Roman"/>
                <w:sz w:val="21"/>
                <w:szCs w:val="21"/>
              </w:rPr>
            </w:pPr>
            <w:r>
              <w:rPr>
                <w:rFonts w:hint="default" w:ascii="Times New Roman" w:hAnsi="Times New Roman" w:eastAsia="宋体" w:cs="Times New Roman"/>
                <w:i w:val="0"/>
                <w:caps w:val="0"/>
                <w:color w:val="000000"/>
                <w:spacing w:val="0"/>
                <w:sz w:val="21"/>
                <w:szCs w:val="21"/>
                <w:u w:val="none"/>
              </w:rPr>
              <w:t> </w:t>
            </w:r>
          </w:p>
          <w:p>
            <w:pPr>
              <w:pStyle w:val="2"/>
              <w:keepNext w:val="0"/>
              <w:keepLines w:val="0"/>
              <w:widowControl/>
              <w:suppressLineNumbers w:val="0"/>
              <w:spacing w:before="0" w:beforeAutospacing="0" w:after="0" w:afterAutospacing="0" w:line="400" w:lineRule="atLeast"/>
              <w:ind w:left="0" w:right="0"/>
              <w:jc w:val="both"/>
              <w:rPr>
                <w:rFonts w:hint="default" w:ascii="Times New Roman" w:hAnsi="Times New Roman" w:cs="Times New Roman"/>
                <w:sz w:val="21"/>
                <w:szCs w:val="21"/>
              </w:rPr>
            </w:pPr>
            <w:r>
              <w:rPr>
                <w:rFonts w:hint="default" w:ascii="Times New Roman" w:hAnsi="Times New Roman" w:eastAsia="宋体" w:cs="Times New Roman"/>
                <w:i w:val="0"/>
                <w:caps w:val="0"/>
                <w:color w:val="000000"/>
                <w:spacing w:val="0"/>
                <w:sz w:val="21"/>
                <w:szCs w:val="21"/>
                <w:u w:val="none"/>
              </w:rPr>
              <w:t> </w:t>
            </w:r>
          </w:p>
          <w:p>
            <w:pPr>
              <w:pStyle w:val="2"/>
              <w:keepNext w:val="0"/>
              <w:keepLines w:val="0"/>
              <w:widowControl/>
              <w:suppressLineNumbers w:val="0"/>
              <w:spacing w:before="0" w:beforeAutospacing="0" w:after="0" w:afterAutospacing="0" w:line="400" w:lineRule="atLeast"/>
              <w:ind w:left="0" w:right="0"/>
              <w:jc w:val="both"/>
              <w:rPr>
                <w:rFonts w:hint="default" w:ascii="Times New Roman" w:hAnsi="Times New Roman" w:cs="Times New Roman"/>
                <w:sz w:val="21"/>
                <w:szCs w:val="21"/>
              </w:rPr>
            </w:pPr>
            <w:r>
              <w:rPr>
                <w:rFonts w:hint="default" w:ascii="Times New Roman" w:hAnsi="Times New Roman" w:eastAsia="宋体" w:cs="Times New Roman"/>
                <w:i w:val="0"/>
                <w:caps w:val="0"/>
                <w:color w:val="000000"/>
                <w:spacing w:val="0"/>
                <w:sz w:val="21"/>
                <w:szCs w:val="21"/>
                <w:u w:val="none"/>
              </w:rPr>
              <w:t> </w:t>
            </w:r>
          </w:p>
          <w:p>
            <w:pPr>
              <w:pStyle w:val="2"/>
              <w:keepNext w:val="0"/>
              <w:keepLines w:val="0"/>
              <w:widowControl/>
              <w:suppressLineNumbers w:val="0"/>
              <w:spacing w:before="0" w:beforeAutospacing="0" w:after="0" w:afterAutospacing="0" w:line="400" w:lineRule="atLeast"/>
              <w:ind w:left="0" w:right="0"/>
              <w:jc w:val="both"/>
              <w:rPr>
                <w:rFonts w:hint="default" w:ascii="Times New Roman" w:hAnsi="Times New Roman" w:cs="Times New Roman"/>
                <w:sz w:val="21"/>
                <w:szCs w:val="21"/>
              </w:rPr>
            </w:pPr>
            <w:r>
              <w:rPr>
                <w:rFonts w:hint="default" w:ascii="Times New Roman" w:hAnsi="Times New Roman" w:eastAsia="宋体" w:cs="Times New Roman"/>
                <w:i w:val="0"/>
                <w:caps w:val="0"/>
                <w:color w:val="000000"/>
                <w:spacing w:val="0"/>
                <w:sz w:val="21"/>
                <w:szCs w:val="21"/>
                <w:u w:val="none"/>
              </w:rPr>
              <w:t> </w:t>
            </w:r>
          </w:p>
          <w:tbl>
            <w:tblPr>
              <w:tblW w:w="10305" w:type="dxa"/>
              <w:jc w:val="center"/>
              <w:tblInd w:w="-99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434"/>
              <w:gridCol w:w="314"/>
              <w:gridCol w:w="359"/>
              <w:gridCol w:w="1078"/>
              <w:gridCol w:w="599"/>
              <w:gridCol w:w="75"/>
              <w:gridCol w:w="719"/>
              <w:gridCol w:w="255"/>
              <w:gridCol w:w="374"/>
              <w:gridCol w:w="449"/>
              <w:gridCol w:w="225"/>
              <w:gridCol w:w="1003"/>
              <w:gridCol w:w="344"/>
              <w:gridCol w:w="344"/>
              <w:gridCol w:w="225"/>
              <w:gridCol w:w="284"/>
              <w:gridCol w:w="105"/>
              <w:gridCol w:w="329"/>
              <w:gridCol w:w="554"/>
              <w:gridCol w:w="150"/>
              <w:gridCol w:w="20"/>
              <w:gridCol w:w="734"/>
              <w:gridCol w:w="13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34" w:type="dxa"/>
                  <w:tcBorders>
                    <w:top w:val="nil"/>
                    <w:left w:val="nil"/>
                    <w:bottom w:val="nil"/>
                    <w:right w:val="nil"/>
                  </w:tcBorders>
                  <w:shd w:val="clear"/>
                  <w:vAlign w:val="center"/>
                </w:tcPr>
                <w:p>
                  <w:pPr>
                    <w:rPr>
                      <w:rFonts w:hint="eastAsia" w:ascii="宋体"/>
                      <w:sz w:val="21"/>
                      <w:szCs w:val="21"/>
                    </w:rPr>
                  </w:pPr>
                </w:p>
              </w:tc>
              <w:tc>
                <w:tcPr>
                  <w:tcW w:w="314" w:type="dxa"/>
                  <w:tcBorders>
                    <w:top w:val="nil"/>
                    <w:left w:val="nil"/>
                    <w:bottom w:val="nil"/>
                    <w:right w:val="nil"/>
                  </w:tcBorders>
                  <w:shd w:val="clear"/>
                  <w:vAlign w:val="center"/>
                </w:tcPr>
                <w:p>
                  <w:pPr>
                    <w:rPr>
                      <w:rFonts w:hint="eastAsia" w:ascii="宋体"/>
                      <w:sz w:val="21"/>
                      <w:szCs w:val="21"/>
                    </w:rPr>
                  </w:pPr>
                </w:p>
              </w:tc>
              <w:tc>
                <w:tcPr>
                  <w:tcW w:w="359" w:type="dxa"/>
                  <w:tcBorders>
                    <w:top w:val="nil"/>
                    <w:left w:val="nil"/>
                    <w:bottom w:val="nil"/>
                    <w:right w:val="nil"/>
                  </w:tcBorders>
                  <w:shd w:val="clear"/>
                  <w:vAlign w:val="center"/>
                </w:tcPr>
                <w:p>
                  <w:pPr>
                    <w:rPr>
                      <w:rFonts w:hint="eastAsia" w:ascii="宋体"/>
                      <w:sz w:val="21"/>
                      <w:szCs w:val="21"/>
                    </w:rPr>
                  </w:pPr>
                </w:p>
              </w:tc>
              <w:tc>
                <w:tcPr>
                  <w:tcW w:w="1078" w:type="dxa"/>
                  <w:tcBorders>
                    <w:top w:val="nil"/>
                    <w:left w:val="nil"/>
                    <w:bottom w:val="nil"/>
                    <w:right w:val="nil"/>
                  </w:tcBorders>
                  <w:shd w:val="clear"/>
                  <w:vAlign w:val="center"/>
                </w:tcPr>
                <w:p>
                  <w:pPr>
                    <w:rPr>
                      <w:rFonts w:hint="eastAsia" w:ascii="宋体"/>
                      <w:sz w:val="21"/>
                      <w:szCs w:val="21"/>
                    </w:rPr>
                  </w:pPr>
                </w:p>
              </w:tc>
              <w:tc>
                <w:tcPr>
                  <w:tcW w:w="599" w:type="dxa"/>
                  <w:tcBorders>
                    <w:top w:val="nil"/>
                    <w:left w:val="nil"/>
                    <w:bottom w:val="nil"/>
                    <w:right w:val="nil"/>
                  </w:tcBorders>
                  <w:shd w:val="clear"/>
                  <w:vAlign w:val="center"/>
                </w:tcPr>
                <w:p>
                  <w:pPr>
                    <w:rPr>
                      <w:rFonts w:hint="eastAsia" w:ascii="宋体"/>
                      <w:sz w:val="21"/>
                      <w:szCs w:val="21"/>
                    </w:rPr>
                  </w:pPr>
                </w:p>
              </w:tc>
              <w:tc>
                <w:tcPr>
                  <w:tcW w:w="75" w:type="dxa"/>
                  <w:tcBorders>
                    <w:top w:val="nil"/>
                    <w:left w:val="nil"/>
                    <w:bottom w:val="nil"/>
                    <w:right w:val="nil"/>
                  </w:tcBorders>
                  <w:shd w:val="clear"/>
                  <w:vAlign w:val="center"/>
                </w:tcPr>
                <w:p>
                  <w:pPr>
                    <w:rPr>
                      <w:rFonts w:hint="eastAsia" w:ascii="宋体"/>
                      <w:sz w:val="21"/>
                      <w:szCs w:val="21"/>
                    </w:rPr>
                  </w:pPr>
                </w:p>
              </w:tc>
              <w:tc>
                <w:tcPr>
                  <w:tcW w:w="719" w:type="dxa"/>
                  <w:tcBorders>
                    <w:top w:val="nil"/>
                    <w:left w:val="nil"/>
                    <w:bottom w:val="nil"/>
                    <w:right w:val="nil"/>
                  </w:tcBorders>
                  <w:shd w:val="clear"/>
                  <w:vAlign w:val="center"/>
                </w:tcPr>
                <w:p>
                  <w:pPr>
                    <w:rPr>
                      <w:rFonts w:hint="eastAsia" w:ascii="宋体"/>
                      <w:sz w:val="21"/>
                      <w:szCs w:val="21"/>
                    </w:rPr>
                  </w:pPr>
                </w:p>
              </w:tc>
              <w:tc>
                <w:tcPr>
                  <w:tcW w:w="255" w:type="dxa"/>
                  <w:tcBorders>
                    <w:top w:val="nil"/>
                    <w:left w:val="nil"/>
                    <w:bottom w:val="nil"/>
                    <w:right w:val="nil"/>
                  </w:tcBorders>
                  <w:shd w:val="clear"/>
                  <w:vAlign w:val="center"/>
                </w:tcPr>
                <w:p>
                  <w:pPr>
                    <w:rPr>
                      <w:rFonts w:hint="eastAsia" w:ascii="宋体"/>
                      <w:sz w:val="21"/>
                      <w:szCs w:val="21"/>
                    </w:rPr>
                  </w:pPr>
                </w:p>
              </w:tc>
              <w:tc>
                <w:tcPr>
                  <w:tcW w:w="374" w:type="dxa"/>
                  <w:tcBorders>
                    <w:top w:val="nil"/>
                    <w:left w:val="nil"/>
                    <w:bottom w:val="nil"/>
                    <w:right w:val="nil"/>
                  </w:tcBorders>
                  <w:shd w:val="clear"/>
                  <w:vAlign w:val="center"/>
                </w:tcPr>
                <w:p>
                  <w:pPr>
                    <w:rPr>
                      <w:rFonts w:hint="eastAsia" w:ascii="宋体"/>
                      <w:sz w:val="21"/>
                      <w:szCs w:val="21"/>
                    </w:rPr>
                  </w:pPr>
                </w:p>
              </w:tc>
              <w:tc>
                <w:tcPr>
                  <w:tcW w:w="449" w:type="dxa"/>
                  <w:tcBorders>
                    <w:top w:val="nil"/>
                    <w:left w:val="nil"/>
                    <w:bottom w:val="nil"/>
                    <w:right w:val="nil"/>
                  </w:tcBorders>
                  <w:shd w:val="clear"/>
                  <w:vAlign w:val="center"/>
                </w:tcPr>
                <w:p>
                  <w:pPr>
                    <w:rPr>
                      <w:rFonts w:hint="eastAsia" w:ascii="宋体"/>
                      <w:sz w:val="21"/>
                      <w:szCs w:val="21"/>
                    </w:rPr>
                  </w:pPr>
                </w:p>
              </w:tc>
              <w:tc>
                <w:tcPr>
                  <w:tcW w:w="225" w:type="dxa"/>
                  <w:tcBorders>
                    <w:top w:val="nil"/>
                    <w:left w:val="nil"/>
                    <w:bottom w:val="nil"/>
                    <w:right w:val="nil"/>
                  </w:tcBorders>
                  <w:shd w:val="clear"/>
                  <w:vAlign w:val="center"/>
                </w:tcPr>
                <w:p>
                  <w:pPr>
                    <w:rPr>
                      <w:rFonts w:hint="eastAsia" w:ascii="宋体"/>
                      <w:sz w:val="21"/>
                      <w:szCs w:val="21"/>
                    </w:rPr>
                  </w:pPr>
                </w:p>
              </w:tc>
              <w:tc>
                <w:tcPr>
                  <w:tcW w:w="1003" w:type="dxa"/>
                  <w:tcBorders>
                    <w:top w:val="nil"/>
                    <w:left w:val="nil"/>
                    <w:bottom w:val="nil"/>
                    <w:right w:val="nil"/>
                  </w:tcBorders>
                  <w:shd w:val="clear"/>
                  <w:vAlign w:val="center"/>
                </w:tcPr>
                <w:p>
                  <w:pPr>
                    <w:rPr>
                      <w:rFonts w:hint="eastAsia" w:ascii="宋体"/>
                      <w:sz w:val="21"/>
                      <w:szCs w:val="21"/>
                    </w:rPr>
                  </w:pPr>
                </w:p>
              </w:tc>
              <w:tc>
                <w:tcPr>
                  <w:tcW w:w="344" w:type="dxa"/>
                  <w:tcBorders>
                    <w:top w:val="nil"/>
                    <w:left w:val="nil"/>
                    <w:bottom w:val="nil"/>
                    <w:right w:val="nil"/>
                  </w:tcBorders>
                  <w:shd w:val="clear"/>
                  <w:vAlign w:val="center"/>
                </w:tcPr>
                <w:p>
                  <w:pPr>
                    <w:rPr>
                      <w:rFonts w:hint="eastAsia" w:ascii="宋体"/>
                      <w:sz w:val="21"/>
                      <w:szCs w:val="21"/>
                    </w:rPr>
                  </w:pPr>
                </w:p>
              </w:tc>
              <w:tc>
                <w:tcPr>
                  <w:tcW w:w="344" w:type="dxa"/>
                  <w:tcBorders>
                    <w:top w:val="nil"/>
                    <w:left w:val="nil"/>
                    <w:bottom w:val="nil"/>
                    <w:right w:val="nil"/>
                  </w:tcBorders>
                  <w:shd w:val="clear"/>
                  <w:vAlign w:val="center"/>
                </w:tcPr>
                <w:p>
                  <w:pPr>
                    <w:rPr>
                      <w:rFonts w:hint="eastAsia" w:ascii="宋体"/>
                      <w:sz w:val="21"/>
                      <w:szCs w:val="21"/>
                    </w:rPr>
                  </w:pPr>
                </w:p>
              </w:tc>
              <w:tc>
                <w:tcPr>
                  <w:tcW w:w="225" w:type="dxa"/>
                  <w:tcBorders>
                    <w:top w:val="nil"/>
                    <w:left w:val="nil"/>
                    <w:bottom w:val="nil"/>
                    <w:right w:val="nil"/>
                  </w:tcBorders>
                  <w:shd w:val="clear"/>
                  <w:vAlign w:val="center"/>
                </w:tcPr>
                <w:p>
                  <w:pPr>
                    <w:rPr>
                      <w:rFonts w:hint="eastAsia" w:ascii="宋体"/>
                      <w:sz w:val="21"/>
                      <w:szCs w:val="21"/>
                    </w:rPr>
                  </w:pPr>
                </w:p>
              </w:tc>
              <w:tc>
                <w:tcPr>
                  <w:tcW w:w="284" w:type="dxa"/>
                  <w:tcBorders>
                    <w:top w:val="nil"/>
                    <w:left w:val="nil"/>
                    <w:bottom w:val="nil"/>
                    <w:right w:val="nil"/>
                  </w:tcBorders>
                  <w:shd w:val="clear"/>
                  <w:vAlign w:val="center"/>
                </w:tcPr>
                <w:p>
                  <w:pPr>
                    <w:rPr>
                      <w:rFonts w:hint="eastAsia" w:ascii="宋体"/>
                      <w:sz w:val="21"/>
                      <w:szCs w:val="21"/>
                    </w:rPr>
                  </w:pPr>
                </w:p>
              </w:tc>
              <w:tc>
                <w:tcPr>
                  <w:tcW w:w="105" w:type="dxa"/>
                  <w:tcBorders>
                    <w:top w:val="nil"/>
                    <w:left w:val="nil"/>
                    <w:bottom w:val="nil"/>
                    <w:right w:val="nil"/>
                  </w:tcBorders>
                  <w:shd w:val="clear"/>
                  <w:vAlign w:val="center"/>
                </w:tcPr>
                <w:p>
                  <w:pPr>
                    <w:rPr>
                      <w:rFonts w:hint="eastAsia" w:ascii="宋体"/>
                      <w:sz w:val="21"/>
                      <w:szCs w:val="21"/>
                    </w:rPr>
                  </w:pPr>
                </w:p>
              </w:tc>
              <w:tc>
                <w:tcPr>
                  <w:tcW w:w="329" w:type="dxa"/>
                  <w:tcBorders>
                    <w:top w:val="nil"/>
                    <w:left w:val="nil"/>
                    <w:bottom w:val="nil"/>
                    <w:right w:val="nil"/>
                  </w:tcBorders>
                  <w:shd w:val="clear"/>
                  <w:vAlign w:val="center"/>
                </w:tcPr>
                <w:p>
                  <w:pPr>
                    <w:rPr>
                      <w:rFonts w:hint="eastAsia" w:ascii="宋体"/>
                      <w:sz w:val="21"/>
                      <w:szCs w:val="21"/>
                    </w:rPr>
                  </w:pPr>
                </w:p>
              </w:tc>
              <w:tc>
                <w:tcPr>
                  <w:tcW w:w="554" w:type="dxa"/>
                  <w:tcBorders>
                    <w:top w:val="nil"/>
                    <w:left w:val="nil"/>
                    <w:bottom w:val="nil"/>
                    <w:right w:val="nil"/>
                  </w:tcBorders>
                  <w:shd w:val="clear"/>
                  <w:vAlign w:val="center"/>
                </w:tcPr>
                <w:p>
                  <w:pPr>
                    <w:rPr>
                      <w:rFonts w:hint="eastAsia" w:ascii="宋体"/>
                      <w:sz w:val="21"/>
                      <w:szCs w:val="21"/>
                    </w:rPr>
                  </w:pPr>
                </w:p>
              </w:tc>
              <w:tc>
                <w:tcPr>
                  <w:tcW w:w="150" w:type="dxa"/>
                  <w:tcBorders>
                    <w:top w:val="nil"/>
                    <w:left w:val="nil"/>
                    <w:bottom w:val="nil"/>
                    <w:right w:val="nil"/>
                  </w:tcBorders>
                  <w:shd w:val="clear"/>
                  <w:vAlign w:val="center"/>
                </w:tcPr>
                <w:p>
                  <w:pPr>
                    <w:rPr>
                      <w:rFonts w:hint="eastAsia" w:ascii="宋体"/>
                      <w:sz w:val="21"/>
                      <w:szCs w:val="21"/>
                    </w:rPr>
                  </w:pPr>
                </w:p>
              </w:tc>
              <w:tc>
                <w:tcPr>
                  <w:tcW w:w="20" w:type="dxa"/>
                  <w:tcBorders>
                    <w:top w:val="nil"/>
                    <w:left w:val="nil"/>
                    <w:bottom w:val="nil"/>
                    <w:right w:val="nil"/>
                  </w:tcBorders>
                  <w:shd w:val="clear"/>
                  <w:vAlign w:val="center"/>
                </w:tcPr>
                <w:p>
                  <w:pPr>
                    <w:rPr>
                      <w:rFonts w:hint="eastAsia" w:ascii="宋体"/>
                      <w:sz w:val="21"/>
                      <w:szCs w:val="21"/>
                    </w:rPr>
                  </w:pPr>
                </w:p>
              </w:tc>
              <w:tc>
                <w:tcPr>
                  <w:tcW w:w="734" w:type="dxa"/>
                  <w:tcBorders>
                    <w:top w:val="nil"/>
                    <w:left w:val="nil"/>
                    <w:bottom w:val="nil"/>
                    <w:right w:val="nil"/>
                  </w:tcBorders>
                  <w:shd w:val="clear"/>
                  <w:vAlign w:val="center"/>
                </w:tcPr>
                <w:p>
                  <w:pPr>
                    <w:rPr>
                      <w:rFonts w:hint="eastAsia" w:ascii="宋体"/>
                      <w:sz w:val="21"/>
                      <w:szCs w:val="21"/>
                    </w:rPr>
                  </w:pPr>
                </w:p>
              </w:tc>
              <w:tc>
                <w:tcPr>
                  <w:tcW w:w="1332" w:type="dxa"/>
                  <w:tcBorders>
                    <w:top w:val="nil"/>
                    <w:left w:val="nil"/>
                    <w:bottom w:val="nil"/>
                    <w:right w:val="nil"/>
                  </w:tcBorders>
                  <w:shd w:val="clear"/>
                  <w:vAlign w:val="center"/>
                </w:tcPr>
                <w:p>
                  <w:pPr>
                    <w:rPr>
                      <w:rFonts w:hint="eastAsia" w:ascii="宋体"/>
                      <w:sz w:val="21"/>
                      <w:szCs w:val="21"/>
                    </w:rPr>
                  </w:pPr>
                </w:p>
              </w:tc>
            </w:tr>
          </w:tbl>
          <w:p>
            <w:pPr>
              <w:pStyle w:val="2"/>
              <w:keepNext w:val="0"/>
              <w:keepLines w:val="0"/>
              <w:widowControl/>
              <w:suppressLineNumbers w:val="0"/>
              <w:spacing w:before="0" w:beforeAutospacing="0" w:after="0" w:afterAutospacing="0" w:line="480" w:lineRule="atLeast"/>
              <w:ind w:left="0" w:right="0"/>
              <w:jc w:val="both"/>
              <w:rPr>
                <w:rFonts w:hint="default" w:ascii="Times New Roman" w:hAnsi="Times New Roman" w:cs="Times New Roman"/>
                <w:sz w:val="21"/>
                <w:szCs w:val="21"/>
              </w:rPr>
            </w:pPr>
            <w:r>
              <w:rPr>
                <w:rFonts w:hint="default" w:ascii="Times New Roman" w:hAnsi="Times New Roman" w:eastAsia="宋体" w:cs="Times New Roman"/>
                <w:i w:val="0"/>
                <w:caps w:val="0"/>
                <w:color w:val="000000"/>
                <w:spacing w:val="0"/>
                <w:sz w:val="21"/>
                <w:szCs w:val="21"/>
                <w:u w:val="none"/>
              </w:rPr>
              <w:t> </w:t>
            </w:r>
          </w:p>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i w:val="0"/>
                <w:caps w:val="0"/>
                <w:color w:val="000000"/>
                <w:spacing w:val="0"/>
                <w:sz w:val="24"/>
                <w:szCs w:val="24"/>
                <w:u w:val="none"/>
              </w:rPr>
            </w:pPr>
          </w:p>
        </w:tc>
      </w:tr>
    </w:tbl>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862C6D"/>
    <w:rsid w:val="5D862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2019-07-09T02:23:00Z</dcterms:created>
  <dc:creator>石果</dc:creator>
  <cp:lastModifiedBy>石果</cp:lastModifiedBy>
  <dcterms:modified xsi:type="dcterms:W3CDTF">2019-07-09T02:24:25Z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