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bdr w:val="none" w:color="auto" w:sz="0" w:space="0"/>
          <w:shd w:val="clear" w:fill="FFFFFF"/>
        </w:rPr>
        <w:t>深圳市龙岗区第四人民医院第二季度招聘聘员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岗位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2"/>
        <w:gridCol w:w="1173"/>
        <w:gridCol w:w="736"/>
        <w:gridCol w:w="774"/>
        <w:gridCol w:w="696"/>
        <w:gridCol w:w="1310"/>
        <w:gridCol w:w="1048"/>
        <w:gridCol w:w="20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拟聘人数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最低学历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最低学位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最低专业技术资格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与岗位有关的其他条件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预防保健内科医师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45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、具有执业医师资格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妇产科医师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、具有执业医师资格和母婴保健合格证；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、有三年以上工作经验’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眼科医师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；具有执业医师资格；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、有住院医师规范化培训合格证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全科医师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全科医学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、具有执业医师资格；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、有全科医师转岗培训证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、具有药师资格证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护士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护理学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护士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、具有护士执业资格证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 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会计专业 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助理会计师 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4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岁以下；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、具有助理会计师资格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3FB8"/>
    <w:rsid w:val="0F2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2019-06-25T05:13:00Z</dcterms:created>
  <dc:creator>石果</dc:creator>
  <cp:lastModifiedBy>石果</cp:lastModifiedBy>
  <dcterms:modified xsi:type="dcterms:W3CDTF">2019-06-25T05:13:37Z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