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国内部分重点</w:t>
      </w:r>
      <w:r>
        <w:rPr>
          <w:rFonts w:ascii="Times New Roman" w:hAnsi="Times New Roman" w:eastAsia="方正小标宋简体"/>
          <w:sz w:val="44"/>
          <w:szCs w:val="44"/>
        </w:rPr>
        <w:t>高校名单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</w:t>
      </w:r>
      <w:r>
        <w:rPr>
          <w:rFonts w:ascii="Times New Roman" w:hAnsi="Times New Roman" w:eastAsia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。</w:t>
      </w:r>
    </w:p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/>
    <w:p>
      <w:pPr>
        <w:adjustRightInd w:val="0"/>
        <w:snapToGrid w:val="0"/>
        <w:spacing w:beforeLines="100" w:afterLines="50" w:line="400" w:lineRule="exact"/>
        <w:ind w:firstLine="200"/>
        <w:rPr>
          <w:rFonts w:hint="eastAsia" w:ascii="黑体" w:hAnsi="黑体" w:eastAsia="黑体" w:cs="黑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563E2"/>
    <w:rsid w:val="090977CC"/>
    <w:rsid w:val="24710BB4"/>
    <w:rsid w:val="2A8563E2"/>
    <w:rsid w:val="2EA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2019-06-18T03:05:00Z</dcterms:created>
  <dc:creator>Q曙光</dc:creator>
  <cp:lastModifiedBy>Q曙光</cp:lastModifiedBy>
  <dcterms:modified xsi:type="dcterms:W3CDTF">2019-06-18T03:07:03Z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