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附件1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: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年茄子河区事业单位引进急需紧缺人才计划表</w:t>
      </w:r>
    </w:p>
    <w:tbl>
      <w:tblPr>
        <w:tblStyle w:val="3"/>
        <w:tblW w:w="13874" w:type="dxa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183"/>
        <w:gridCol w:w="1074"/>
        <w:gridCol w:w="752"/>
        <w:gridCol w:w="3180"/>
        <w:gridCol w:w="1460"/>
        <w:gridCol w:w="1370"/>
        <w:gridCol w:w="1012"/>
        <w:gridCol w:w="1024"/>
        <w:gridCol w:w="12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茄子河区医院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  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土木工程、建筑工程、工程造价、城镇建设、城镇规划等相关专业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统招本科及以上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直接引进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茄子河区中心河乡卫生院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法律顾问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法律、法学、法律事务等相关专业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统招本科及以上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直接引进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茄子河区宏伟镇卫生院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秘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汉语言文学、中国文学、文秘、历史、哲学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统招本科及以上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直接引进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茄子河区宏伟镇农村社会事业发展管理服务中心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计算机网络与办公自动化、计算机应用及网络、计算机网络工程与管理、网络与信息安全、计算机科学与技术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统招本科及以上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直接引进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茄子河区安全生产行政执法大队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应用化学、应用化工、应用化工技术、煤化工技术等相关专业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统招本科及以上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直接引进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电气工程及自动化或机电自动化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统招本科及以上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直接引进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pacing w:before="150" w:line="560" w:lineRule="exact"/>
        <w:rPr>
          <w:rFonts w:hint="eastAsia" w:ascii="仿宋" w:hAnsi="仿宋" w:eastAsia="仿宋" w:cs="仿宋"/>
          <w:color w:val="000000"/>
          <w:sz w:val="34"/>
          <w:szCs w:val="34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0"/>
          <w:szCs w:val="20"/>
        </w:rPr>
        <w:t>注：编制类型为差额事业的，参照全额事业单位工资及待遇管理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</cp:lastModifiedBy>
  <dcterms:modified xsi:type="dcterms:W3CDTF">2019-06-14T10:33:44Z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