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"/>
        <w:gridCol w:w="27"/>
        <w:gridCol w:w="21"/>
        <w:gridCol w:w="172"/>
        <w:gridCol w:w="121"/>
        <w:gridCol w:w="150"/>
        <w:gridCol w:w="220"/>
        <w:gridCol w:w="220"/>
        <w:gridCol w:w="220"/>
        <w:gridCol w:w="220"/>
        <w:gridCol w:w="220"/>
        <w:gridCol w:w="7052"/>
        <w:gridCol w:w="888"/>
        <w:gridCol w:w="4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385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rFonts w:ascii="黑体" w:hAnsi="宋体" w:eastAsia="黑体" w:cs="黑体"/>
                <w:color w:val="444444"/>
                <w:sz w:val="27"/>
                <w:szCs w:val="27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32"/>
                <w:szCs w:val="32"/>
                <w:bdr w:val="none" w:color="auto" w:sz="0" w:space="0"/>
              </w:rPr>
              <w:t>广州鲁迅纪念馆2019年公开招聘岗位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部门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代码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岗位等级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招聘对象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要求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要求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需求专业及代码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具备条件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444444"/>
                <w:sz w:val="14"/>
                <w:szCs w:val="14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综合科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消防安全与工程管理 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专业技术十二级或以上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本科生招考的须满足以下专业: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历史建筑保护工程(B081004 )、 安全工程(B083001)、 消防工程(B083102)、 安全防范工程(B083104)；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研究生报考的，研究生阶段专业需满足以下专业: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安全科学与工程(A083701)、安全工程硕士（专业硕士）(A083702),本科阶段专业不限。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教育推广科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新闻传播及网络传播与新媒体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专业技术十二级或以上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本科生招考的须满足以下专业: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传播学(B050304)、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网络与新媒体(B050306)、信息工程(B080706)、网络工程(B080903)、信息安全(B080904)；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研究生报考的，研究生阶段专业需满足以下专业: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传播学(A050302)、新闻与传播硕士（专业硕士）(A050303)，本科阶段专业不限。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47" w:type="dxa"/>
            <w:gridSpan w:val="2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3565" w:type="dxa"/>
            <w:gridSpan w:val="9"/>
            <w:tcBorders>
              <w:top w:val="single" w:color="F0F0F0" w:sz="4" w:space="0"/>
              <w:left w:val="single" w:color="F0F0F0" w:sz="4" w:space="0"/>
              <w:bottom w:val="single" w:color="F0F0F0" w:sz="4" w:space="0"/>
              <w:right w:val="single" w:color="F0F0F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  <w:r>
              <w:rPr>
                <w:rFonts w:hint="eastAsia" w:ascii="宋体" w:hAnsi="宋体" w:eastAsia="宋体" w:cs="宋体"/>
                <w:color w:val="444444"/>
                <w:sz w:val="14"/>
                <w:szCs w:val="14"/>
                <w:bdr w:val="none" w:color="auto" w:sz="0" w:space="0"/>
              </w:rPr>
              <w:t>注：每人限报一个岗位。学科专业代码参照《广东省2019年考试录用公务员专业参考目录》,所学专业未列入专业目录或没有专业代码的，可选择招聘专业中相近专业报考，具体要求见公告。</w:t>
            </w:r>
          </w:p>
        </w:tc>
      </w:tr>
    </w:tbl>
    <w:p>
      <w:r>
        <w:rPr>
          <w:rFonts w:hint="eastAsia" w:ascii="黑体" w:hAnsi="宋体" w:eastAsia="黑体" w:cs="黑体"/>
          <w:color w:val="444444"/>
          <w:sz w:val="27"/>
          <w:szCs w:val="27"/>
          <w:bdr w:val="none" w:color="auto" w:sz="0" w:space="0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0980"/>
    <w:rsid w:val="0F8A0980"/>
    <w:rsid w:val="77C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w5"/>
    <w:basedOn w:val="4"/>
    <w:uiPriority w:val="0"/>
  </w:style>
  <w:style w:type="character" w:customStyle="1" w:styleId="9">
    <w:name w:val="more1"/>
    <w:basedOn w:val="4"/>
    <w:uiPriority w:val="0"/>
    <w:rPr>
      <w:color w:val="FFFFFF"/>
      <w:shd w:val="clear" w:fill="E56413"/>
    </w:rPr>
  </w:style>
  <w:style w:type="character" w:customStyle="1" w:styleId="10">
    <w:name w:val="more3"/>
    <w:basedOn w:val="4"/>
    <w:uiPriority w:val="0"/>
  </w:style>
  <w:style w:type="character" w:customStyle="1" w:styleId="11">
    <w:name w:val="before2"/>
    <w:basedOn w:val="4"/>
    <w:uiPriority w:val="0"/>
    <w:rPr>
      <w:color w:val="999999"/>
      <w:bdr w:val="none" w:color="auto" w:sz="0" w:space="0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2019-06-06T08:40:00Z</dcterms:created>
  <dc:creator>与爱飞翔</dc:creator>
  <cp:lastModifiedBy>与爱飞翔</cp:lastModifiedBy>
  <dcterms:modified xsi:type="dcterms:W3CDTF">2019-06-06T08:41:46Z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