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</w:pPr>
      <w:r>
        <w:rPr>
          <w:rFonts w:ascii="黑体" w:hAnsi="Calibri" w:eastAsia="黑体" w:cs="黑体"/>
          <w:kern w:val="0"/>
          <w:sz w:val="28"/>
          <w:szCs w:val="28"/>
          <w:lang w:val="en-US" w:eastAsia="zh-CN" w:bidi="ar"/>
        </w:rPr>
        <w:t>招聘岗位</w:t>
      </w:r>
    </w:p>
    <w:tbl>
      <w:tblPr>
        <w:tblW w:w="10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294"/>
        <w:gridCol w:w="1094"/>
        <w:gridCol w:w="631"/>
        <w:gridCol w:w="1455"/>
        <w:gridCol w:w="1949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妇科学、产科学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</w:t>
            </w: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康复医学相关专业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甲乳外科</w:t>
            </w: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甲乳外科学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血液科</w:t>
            </w: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血液内科学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生物免疫治疗实验室研究员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临床医学相关专业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中医科</w:t>
            </w: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中医学、中西医骨科学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</w:t>
            </w: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医学影像学相关专业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急诊医学科医生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临床医学相关专业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感染科医生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感染病学相关专业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骨外科学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消化内科学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神经内科医生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神经内科学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心血管内科医生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心血管内科学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肛肠外科医生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肛肠外科学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胃肠外科医生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胃肠外科学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血管外科医生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血管外科学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肿瘤放疗科医生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肿瘤放疗学相关专业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全日制普通高校毕业，大学英语六级,其中2017届及之前历届生须具有执业医师资格。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47F69"/>
    <w:rsid w:val="5A34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2019-06-04T02:07:00Z</dcterms:created>
  <dc:creator>与爱飞翔</dc:creator>
  <cp:lastModifiedBy>与爱飞翔</cp:lastModifiedBy>
  <dcterms:modified xsi:type="dcterms:W3CDTF">2019-06-04T02:08:59Z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