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23"/>
          <w:tab w:val="left" w:pos="6220"/>
        </w:tabs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2</w:t>
      </w:r>
    </w:p>
    <w:p>
      <w:pPr>
        <w:tabs>
          <w:tab w:val="left" w:pos="4123"/>
          <w:tab w:val="left" w:pos="6220"/>
        </w:tabs>
        <w:spacing w:line="600" w:lineRule="exact"/>
        <w:rPr>
          <w:rFonts w:ascii="方正黑体_GBK" w:eastAsia="方正黑体_GBK"/>
        </w:rPr>
      </w:pPr>
    </w:p>
    <w:p>
      <w:pPr>
        <w:tabs>
          <w:tab w:val="left" w:pos="4123"/>
          <w:tab w:val="left" w:pos="6220"/>
        </w:tabs>
        <w:spacing w:line="600" w:lineRule="exact"/>
        <w:jc w:val="center"/>
        <w:rPr>
          <w:rFonts w:ascii="方正小标宋_GBK" w:hAnsi="华文中宋" w:eastAsia="方正小标宋_GBK" w:cs="华文中宋"/>
          <w:sz w:val="40"/>
          <w:szCs w:val="40"/>
        </w:rPr>
      </w:pPr>
      <w:r>
        <w:rPr>
          <w:rFonts w:hint="eastAsia" w:ascii="方正小标宋_GBK" w:hAnsi="华文中宋" w:eastAsia="方正小标宋_GBK" w:cs="华文中宋"/>
          <w:sz w:val="40"/>
          <w:szCs w:val="40"/>
        </w:rPr>
        <w:t>“三支一扶”人员健康状况要求</w:t>
      </w:r>
    </w:p>
    <w:p>
      <w:pPr>
        <w:tabs>
          <w:tab w:val="left" w:pos="4123"/>
          <w:tab w:val="left" w:pos="6100"/>
        </w:tabs>
        <w:spacing w:line="600" w:lineRule="exact"/>
      </w:pP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有以下疾病或生理缺陷的高校毕业生，不能参加“三支一扶”计划：</w:t>
      </w: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、严重心脏病（先天性心脏病经手术治愈，或房室间隔缺损分留量少，动脉导管未闭返流血量少，经二级以上医院专科检查确定无需手术者除外）、心肌病、高血压病。</w:t>
      </w: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、重症支气管扩张、哮喘，恶性肿瘤、慢性肾炎，尿毒症。</w:t>
      </w: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、严重的血液、内分泌及代谢系统疾病、风湿性疾病。</w:t>
      </w: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、重症或难治性癫痫或其他神经系统疾病；严重精神病未治愈、精神活性物质滥用和依赖。</w:t>
      </w: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、慢性肝炎病人并且肝功能不正常者（肝炎病原携带者但肝功能正常者除外）。</w:t>
      </w: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、结核病，除以下情况外均不能参加：</w:t>
      </w: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）原发型肺结核、浸润型肺结核已硬结稳定；结核型胸膜炎已治愈，或治愈后遗有胸膜肥厚者；</w:t>
      </w: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）一切肺外结核（肾结核、骨结核、腹膜结核等）、血行性播散型肺结核治愈后一年以上未复发，经二级以上医院（或结核病防治所）专科检查无变化者；</w:t>
      </w:r>
    </w:p>
    <w:p>
      <w:pPr>
        <w:tabs>
          <w:tab w:val="left" w:pos="4123"/>
          <w:tab w:val="left" w:pos="6100"/>
        </w:tabs>
        <w:spacing w:line="540" w:lineRule="exact"/>
        <w:ind w:firstLine="648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）淋巴腺结核已临床治愈无症状者。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03" w:right="1440" w:bottom="1803" w:left="1440" w:header="851" w:footer="1389" w:gutter="0"/>
      <w:cols w:space="720" w:num="1"/>
      <w:docGrid w:type="linesAndChars" w:linePitch="618" w:charSpace="2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方正仿宋_GBK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98E2A16"/>
    <w:rsid w:val="00790614"/>
    <w:rsid w:val="00B93A03"/>
    <w:rsid w:val="00BD5D03"/>
    <w:rsid w:val="00C423BF"/>
    <w:rsid w:val="00E4400E"/>
    <w:rsid w:val="08114531"/>
    <w:rsid w:val="698E2A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uiPriority w:val="99"/>
    <w:rPr>
      <w:rFonts w:eastAsia="方正仿宋_GBK"/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62</Words>
  <Characters>355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2018-06-14T06:51:00Z</dcterms:created>
  <dc:creator>血像火</dc:creator>
  <cp:lastModifiedBy>纳绍春</cp:lastModifiedBy>
  <cp:lastPrinted>2019-05-05T02:36:38Z</cp:lastPrinted>
  <dcterms:modified xsi:type="dcterms:W3CDTF">2019-05-05T02:36:40Z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