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tLeast"/>
        <w:jc w:val="left"/>
      </w:pPr>
      <w:r>
        <w:rPr>
          <w:rStyle w:val="5"/>
          <w:rFonts w:hint="eastAsia" w:ascii="Arial" w:hAnsi="Arial" w:cs="Arial"/>
          <w:color w:val="4D4D4D"/>
          <w:sz w:val="24"/>
          <w:szCs w:val="24"/>
        </w:rPr>
        <w:t>（一）江西省高层次人才引进政策</w:t>
      </w:r>
    </w:p>
    <w:tbl>
      <w:tblPr>
        <w:tblW w:w="1449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485"/>
        <w:gridCol w:w="2160"/>
        <w:gridCol w:w="1680"/>
        <w:gridCol w:w="1815"/>
        <w:gridCol w:w="2085"/>
        <w:gridCol w:w="2640"/>
        <w:gridCol w:w="26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1" w:hRule="atLeast"/>
          <w:tblCellSpacing w:w="0" w:type="dxa"/>
        </w:trPr>
        <w:tc>
          <w:tcPr>
            <w:tcW w:w="1485"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岗位类别</w:t>
            </w:r>
          </w:p>
        </w:tc>
        <w:tc>
          <w:tcPr>
            <w:tcW w:w="2160"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生活待遇</w:t>
            </w:r>
          </w:p>
        </w:tc>
        <w:tc>
          <w:tcPr>
            <w:tcW w:w="1680"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职称评定</w:t>
            </w:r>
          </w:p>
        </w:tc>
        <w:tc>
          <w:tcPr>
            <w:tcW w:w="1815"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科研服务</w:t>
            </w:r>
          </w:p>
        </w:tc>
        <w:tc>
          <w:tcPr>
            <w:tcW w:w="2085"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税收优惠</w:t>
            </w:r>
          </w:p>
        </w:tc>
        <w:tc>
          <w:tcPr>
            <w:tcW w:w="2640"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出入境和居留服务</w:t>
            </w:r>
          </w:p>
        </w:tc>
        <w:tc>
          <w:tcPr>
            <w:tcW w:w="2625"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子女入学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96" w:hRule="atLeast"/>
          <w:tblCellSpacing w:w="0" w:type="dxa"/>
        </w:trPr>
        <w:tc>
          <w:tcPr>
            <w:tcW w:w="1485"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第一类：中国科学院、中国工程院院士</w:t>
            </w:r>
          </w:p>
        </w:tc>
        <w:tc>
          <w:tcPr>
            <w:tcW w:w="2160"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   每月10000元的生活津贴，享受副省级干部医疗保健待遇，住房不低于150平方米，配备工作用车和工作助手。其他生活待遇由用人单位与高层次人才协商确定。</w:t>
            </w:r>
          </w:p>
        </w:tc>
        <w:tc>
          <w:tcPr>
            <w:tcW w:w="1680" w:type="dxa"/>
            <w:vMerge w:val="restart"/>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 不受资历、“台阶”等限制，按留学回国人员或有突出贡献人才专业技术资格审定办法，申报高级专业技术资格。特别优秀的博士后可申请认定副高级专业技术资格。取得省外专业技术资格的，经政府人力资源社会保障部门确认后，享受本省同类人员待遇。</w:t>
            </w:r>
          </w:p>
        </w:tc>
        <w:tc>
          <w:tcPr>
            <w:tcW w:w="1815" w:type="dxa"/>
            <w:vMerge w:val="restart"/>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  申报国家和省级各类科技计划项目、省科学技术奖和省重点实验室、工程技术研究中心时，同等条件下，科技部门应优先立项、优先推荐。可直接入选“赣鄱英才555工程”之“创新创业人才引进计划”，享受相应支持政策和科研资助资金。</w:t>
            </w:r>
          </w:p>
        </w:tc>
        <w:tc>
          <w:tcPr>
            <w:tcW w:w="2085" w:type="dxa"/>
            <w:vMerge w:val="restart"/>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  国家规定发给的补贴、津贴以及由省级人民政府颁发的科、教、技、文、卫生、体、环等方面的奖金免征个人所得税；外籍高层次人才以非现金形式或实报实销形式取得的住房补贴、伙食补贴、搬迁费等可免征个人所得税。对海外高层次人才进口自用的1辆小汽车，可办理车辆购置税免税手续。海外高层次人才因科研、教学急需，需从境外进口少量科研教学用品或申请进口合理数量的工作、生活自用物品，按规定办理减免税手续。</w:t>
            </w:r>
          </w:p>
        </w:tc>
        <w:tc>
          <w:tcPr>
            <w:tcW w:w="2640" w:type="dxa"/>
            <w:vMerge w:val="restart"/>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  持外国护照入境的海外高层次人才及其配偶、未成年子女，可申请办理签证或长期居留证件，居留地县级以上公安机关出入境管理机构自受理之日起10个工作日内办结。符合条件且申请材料齐全的，可申请办理永久居留手续，居留地市级以上公安机关出入境管理机构自受理之日起50个工作日内上报公安部审批。</w:t>
            </w:r>
          </w:p>
        </w:tc>
        <w:tc>
          <w:tcPr>
            <w:tcW w:w="2625" w:type="dxa"/>
            <w:vMerge w:val="restart"/>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    子女申请转（入）我省义务教育阶段学校和普通高中就读的，根据本人意愿和实际情况，由其父母服务地或居住地教育行政主管部门按免试就近入学原则优先办理转（入）学手续，不收取国家规定以外费用。非江西省户籍子女，在江西省就读义务教育阶段学校和普通高中期间，享受江西省户籍学生同等待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81" w:hRule="atLeast"/>
          <w:tblCellSpacing w:w="0" w:type="dxa"/>
        </w:trPr>
        <w:tc>
          <w:tcPr>
            <w:tcW w:w="1485"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第二类：千人计划、万人计划、长江学者奖励计划、国家杰出青年科学基金、中科院百人计划、国家百千万人才工程等国家重大人才工程入选人员，享受国务院特殊津贴的专家</w:t>
            </w:r>
          </w:p>
        </w:tc>
        <w:tc>
          <w:tcPr>
            <w:tcW w:w="2160"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w:t>
            </w:r>
          </w:p>
        </w:tc>
        <w:tc>
          <w:tcPr>
            <w:tcW w:w="1680" w:type="dxa"/>
            <w:vMerge w:val="continue"/>
            <w:shd w:val="clear"/>
            <w:vAlign w:val="center"/>
          </w:tcPr>
          <w:p>
            <w:pPr>
              <w:rPr>
                <w:rFonts w:hint="default" w:ascii="Arial" w:hAnsi="Arial" w:cs="Arial"/>
                <w:color w:val="717171"/>
                <w:sz w:val="18"/>
                <w:szCs w:val="18"/>
              </w:rPr>
            </w:pPr>
          </w:p>
        </w:tc>
        <w:tc>
          <w:tcPr>
            <w:tcW w:w="1815" w:type="dxa"/>
            <w:vMerge w:val="continue"/>
            <w:shd w:val="clear"/>
            <w:vAlign w:val="center"/>
          </w:tcPr>
          <w:p>
            <w:pPr>
              <w:rPr>
                <w:rFonts w:hint="default" w:ascii="Arial" w:hAnsi="Arial" w:cs="Arial"/>
                <w:color w:val="717171"/>
                <w:sz w:val="18"/>
                <w:szCs w:val="18"/>
              </w:rPr>
            </w:pPr>
          </w:p>
        </w:tc>
        <w:tc>
          <w:tcPr>
            <w:tcW w:w="2085" w:type="dxa"/>
            <w:vMerge w:val="continue"/>
            <w:shd w:val="clear"/>
            <w:vAlign w:val="center"/>
          </w:tcPr>
          <w:p>
            <w:pPr>
              <w:rPr>
                <w:rFonts w:hint="default" w:ascii="Arial" w:hAnsi="Arial" w:cs="Arial"/>
                <w:color w:val="717171"/>
                <w:sz w:val="18"/>
                <w:szCs w:val="18"/>
              </w:rPr>
            </w:pPr>
          </w:p>
        </w:tc>
        <w:tc>
          <w:tcPr>
            <w:tcW w:w="2640" w:type="dxa"/>
            <w:vMerge w:val="continue"/>
            <w:shd w:val="clear"/>
            <w:vAlign w:val="center"/>
          </w:tcPr>
          <w:p>
            <w:pPr>
              <w:rPr>
                <w:rFonts w:hint="default" w:ascii="Arial" w:hAnsi="Arial" w:cs="Arial"/>
                <w:color w:val="717171"/>
                <w:sz w:val="18"/>
                <w:szCs w:val="18"/>
              </w:rPr>
            </w:pPr>
          </w:p>
        </w:tc>
        <w:tc>
          <w:tcPr>
            <w:tcW w:w="2625" w:type="dxa"/>
            <w:vMerge w:val="continue"/>
            <w:shd w:val="clear"/>
            <w:vAlign w:val="center"/>
          </w:tcPr>
          <w:p>
            <w:pPr>
              <w:rPr>
                <w:rFonts w:hint="default" w:ascii="Arial" w:hAnsi="Arial" w:cs="Arial"/>
                <w:color w:val="717171"/>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516" w:hRule="atLeast"/>
          <w:tblCellSpacing w:w="0" w:type="dxa"/>
        </w:trPr>
        <w:tc>
          <w:tcPr>
            <w:tcW w:w="1485"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第三类：省部级重大人才工程入选人员</w:t>
            </w:r>
          </w:p>
        </w:tc>
        <w:tc>
          <w:tcPr>
            <w:tcW w:w="2160"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w:t>
            </w:r>
          </w:p>
        </w:tc>
        <w:tc>
          <w:tcPr>
            <w:tcW w:w="1680" w:type="dxa"/>
            <w:vMerge w:val="continue"/>
            <w:shd w:val="clear"/>
            <w:vAlign w:val="center"/>
          </w:tcPr>
          <w:p>
            <w:pPr>
              <w:rPr>
                <w:rFonts w:hint="default" w:ascii="Arial" w:hAnsi="Arial" w:cs="Arial"/>
                <w:color w:val="717171"/>
                <w:sz w:val="18"/>
                <w:szCs w:val="18"/>
              </w:rPr>
            </w:pPr>
          </w:p>
        </w:tc>
        <w:tc>
          <w:tcPr>
            <w:tcW w:w="1815" w:type="dxa"/>
            <w:vMerge w:val="restart"/>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  在申报国家和省级各类科技计划项目、省科学技术奖和省重点实验室、工程技术研究中心时，同等条件下，科技部门应优先立项、优先推荐，并搞好相关服务</w:t>
            </w:r>
          </w:p>
        </w:tc>
        <w:tc>
          <w:tcPr>
            <w:tcW w:w="2085" w:type="dxa"/>
            <w:vMerge w:val="continue"/>
            <w:shd w:val="clear"/>
            <w:vAlign w:val="center"/>
          </w:tcPr>
          <w:p>
            <w:pPr>
              <w:rPr>
                <w:rFonts w:hint="default" w:ascii="Arial" w:hAnsi="Arial" w:cs="Arial"/>
                <w:color w:val="717171"/>
                <w:sz w:val="18"/>
                <w:szCs w:val="18"/>
              </w:rPr>
            </w:pPr>
          </w:p>
        </w:tc>
        <w:tc>
          <w:tcPr>
            <w:tcW w:w="2640" w:type="dxa"/>
            <w:vMerge w:val="continue"/>
            <w:shd w:val="clear"/>
            <w:vAlign w:val="center"/>
          </w:tcPr>
          <w:p>
            <w:pPr>
              <w:rPr>
                <w:rFonts w:hint="default" w:ascii="Arial" w:hAnsi="Arial" w:cs="Arial"/>
                <w:color w:val="717171"/>
                <w:sz w:val="18"/>
                <w:szCs w:val="18"/>
              </w:rPr>
            </w:pPr>
          </w:p>
        </w:tc>
        <w:tc>
          <w:tcPr>
            <w:tcW w:w="2625" w:type="dxa"/>
            <w:vMerge w:val="continue"/>
            <w:shd w:val="clear"/>
            <w:vAlign w:val="center"/>
          </w:tcPr>
          <w:p>
            <w:pPr>
              <w:rPr>
                <w:rFonts w:hint="default" w:ascii="Arial" w:hAnsi="Arial" w:cs="Arial"/>
                <w:color w:val="717171"/>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601" w:hRule="atLeast"/>
          <w:tblCellSpacing w:w="0" w:type="dxa"/>
        </w:trPr>
        <w:tc>
          <w:tcPr>
            <w:tcW w:w="1485"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第四类：具有正高级专业技术资格或博士学历、学位，且为我省经济社会发展急需紧缺的人员</w:t>
            </w:r>
          </w:p>
        </w:tc>
        <w:tc>
          <w:tcPr>
            <w:tcW w:w="2160"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w:t>
            </w:r>
          </w:p>
        </w:tc>
        <w:tc>
          <w:tcPr>
            <w:tcW w:w="1680" w:type="dxa"/>
            <w:vMerge w:val="continue"/>
            <w:shd w:val="clear"/>
            <w:vAlign w:val="center"/>
          </w:tcPr>
          <w:p>
            <w:pPr>
              <w:rPr>
                <w:rFonts w:hint="default" w:ascii="Arial" w:hAnsi="Arial" w:cs="Arial"/>
                <w:color w:val="717171"/>
                <w:sz w:val="18"/>
                <w:szCs w:val="18"/>
              </w:rPr>
            </w:pPr>
          </w:p>
        </w:tc>
        <w:tc>
          <w:tcPr>
            <w:tcW w:w="1815" w:type="dxa"/>
            <w:vMerge w:val="continue"/>
            <w:shd w:val="clear"/>
            <w:vAlign w:val="center"/>
          </w:tcPr>
          <w:p>
            <w:pPr>
              <w:rPr>
                <w:rFonts w:hint="default" w:ascii="Arial" w:hAnsi="Arial" w:cs="Arial"/>
                <w:color w:val="717171"/>
                <w:sz w:val="18"/>
                <w:szCs w:val="18"/>
              </w:rPr>
            </w:pPr>
          </w:p>
        </w:tc>
        <w:tc>
          <w:tcPr>
            <w:tcW w:w="2085" w:type="dxa"/>
            <w:vMerge w:val="continue"/>
            <w:shd w:val="clear"/>
            <w:vAlign w:val="center"/>
          </w:tcPr>
          <w:p>
            <w:pPr>
              <w:rPr>
                <w:rFonts w:hint="default" w:ascii="Arial" w:hAnsi="Arial" w:cs="Arial"/>
                <w:color w:val="717171"/>
                <w:sz w:val="18"/>
                <w:szCs w:val="18"/>
              </w:rPr>
            </w:pPr>
          </w:p>
        </w:tc>
        <w:tc>
          <w:tcPr>
            <w:tcW w:w="2640" w:type="dxa"/>
            <w:vMerge w:val="continue"/>
            <w:shd w:val="clear"/>
            <w:vAlign w:val="center"/>
          </w:tcPr>
          <w:p>
            <w:pPr>
              <w:rPr>
                <w:rFonts w:hint="default" w:ascii="Arial" w:hAnsi="Arial" w:cs="Arial"/>
                <w:color w:val="717171"/>
                <w:sz w:val="18"/>
                <w:szCs w:val="18"/>
              </w:rPr>
            </w:pPr>
          </w:p>
        </w:tc>
        <w:tc>
          <w:tcPr>
            <w:tcW w:w="2625" w:type="dxa"/>
            <w:vMerge w:val="continue"/>
            <w:shd w:val="clear"/>
            <w:vAlign w:val="center"/>
          </w:tcPr>
          <w:p>
            <w:pPr>
              <w:rPr>
                <w:rFonts w:hint="default" w:ascii="Arial" w:hAnsi="Arial" w:cs="Arial"/>
                <w:color w:val="717171"/>
                <w:sz w:val="18"/>
                <w:szCs w:val="18"/>
              </w:rPr>
            </w:pPr>
          </w:p>
        </w:tc>
      </w:tr>
    </w:tbl>
    <w:p>
      <w:pPr>
        <w:pStyle w:val="2"/>
        <w:keepNext w:val="0"/>
        <w:keepLines w:val="0"/>
        <w:widowControl/>
        <w:suppressLineNumbers w:val="0"/>
        <w:spacing w:line="360" w:lineRule="atLeast"/>
        <w:jc w:val="left"/>
      </w:pPr>
      <w:r>
        <w:rPr>
          <w:rStyle w:val="5"/>
          <w:rFonts w:hint="default" w:ascii="Arial" w:hAnsi="Arial" w:cs="Arial"/>
          <w:color w:val="4D4D4D"/>
          <w:sz w:val="24"/>
          <w:szCs w:val="24"/>
        </w:rPr>
        <w:t>（摘自《江西省高层次人才引进实施办法》（赣才办字[2015]16号）</w:t>
      </w:r>
    </w:p>
    <w:p>
      <w:pPr>
        <w:pStyle w:val="2"/>
        <w:keepNext w:val="0"/>
        <w:keepLines w:val="0"/>
        <w:widowControl/>
        <w:suppressLineNumbers w:val="0"/>
        <w:spacing w:line="360" w:lineRule="atLeast"/>
        <w:jc w:val="left"/>
      </w:pPr>
      <w:r>
        <w:rPr>
          <w:rStyle w:val="5"/>
          <w:rFonts w:hint="default" w:ascii="Arial" w:hAnsi="Arial" w:cs="Arial"/>
          <w:color w:val="4D4D4D"/>
          <w:sz w:val="24"/>
          <w:szCs w:val="24"/>
        </w:rPr>
        <w:t>　　（二）南昌航空大学高层次人才引进待遇</w:t>
      </w:r>
    </w:p>
    <w:tbl>
      <w:tblPr>
        <w:tblW w:w="1543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706"/>
        <w:gridCol w:w="1276"/>
        <w:gridCol w:w="1982"/>
        <w:gridCol w:w="2552"/>
        <w:gridCol w:w="1276"/>
        <w:gridCol w:w="1276"/>
        <w:gridCol w:w="13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0" w:hRule="atLeast"/>
          <w:tblCellSpacing w:w="0" w:type="dxa"/>
        </w:trPr>
        <w:tc>
          <w:tcPr>
            <w:tcW w:w="5706"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 xml:space="preserve">    </w:t>
            </w:r>
            <w:r>
              <w:rPr>
                <w:rStyle w:val="5"/>
                <w:rFonts w:hint="default" w:ascii="Arial" w:hAnsi="Arial" w:cs="Arial"/>
                <w:color w:val="717171"/>
                <w:sz w:val="18"/>
                <w:szCs w:val="18"/>
              </w:rPr>
              <w:t>岗位类别</w:t>
            </w:r>
          </w:p>
        </w:tc>
        <w:tc>
          <w:tcPr>
            <w:tcW w:w="1276"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安家费</w:t>
            </w:r>
          </w:p>
        </w:tc>
        <w:tc>
          <w:tcPr>
            <w:tcW w:w="1982"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住房补贴</w:t>
            </w:r>
          </w:p>
          <w:p>
            <w:pPr>
              <w:pStyle w:val="2"/>
              <w:keepNext w:val="0"/>
              <w:keepLines w:val="0"/>
              <w:widowControl/>
              <w:suppressLineNumbers w:val="0"/>
              <w:spacing w:line="360" w:lineRule="atLeast"/>
              <w:jc w:val="center"/>
            </w:pPr>
            <w:r>
              <w:rPr>
                <w:rStyle w:val="5"/>
                <w:rFonts w:hint="default" w:ascii="Arial" w:hAnsi="Arial" w:cs="Arial"/>
                <w:color w:val="717171"/>
                <w:sz w:val="18"/>
                <w:szCs w:val="18"/>
              </w:rPr>
              <w:t>（一次性支付）</w:t>
            </w:r>
          </w:p>
        </w:tc>
        <w:tc>
          <w:tcPr>
            <w:tcW w:w="2552"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科研启动及平台建设经费</w:t>
            </w:r>
          </w:p>
        </w:tc>
        <w:tc>
          <w:tcPr>
            <w:tcW w:w="1276"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配偶工作</w:t>
            </w:r>
          </w:p>
        </w:tc>
        <w:tc>
          <w:tcPr>
            <w:tcW w:w="1276"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薪酬待遇</w:t>
            </w:r>
          </w:p>
        </w:tc>
        <w:tc>
          <w:tcPr>
            <w:tcW w:w="1367"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住房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336" w:hRule="atLeast"/>
          <w:tblCellSpacing w:w="0" w:type="dxa"/>
        </w:trPr>
        <w:tc>
          <w:tcPr>
            <w:tcW w:w="5706"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 </w:t>
            </w:r>
          </w:p>
          <w:p>
            <w:pPr>
              <w:pStyle w:val="2"/>
              <w:keepNext w:val="0"/>
              <w:keepLines w:val="0"/>
              <w:widowControl/>
              <w:suppressLineNumbers w:val="0"/>
              <w:spacing w:line="360" w:lineRule="atLeast"/>
              <w:jc w:val="center"/>
            </w:pPr>
            <w:r>
              <w:rPr>
                <w:rStyle w:val="5"/>
                <w:rFonts w:hint="default" w:ascii="Arial" w:hAnsi="Arial" w:cs="Arial"/>
                <w:color w:val="717171"/>
                <w:sz w:val="18"/>
                <w:szCs w:val="18"/>
              </w:rPr>
              <w:t>第一层次人才：院士，包括中国科学院院士、中国工程院院士</w:t>
            </w:r>
          </w:p>
        </w:tc>
        <w:tc>
          <w:tcPr>
            <w:tcW w:w="1276"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30万元</w:t>
            </w:r>
          </w:p>
        </w:tc>
        <w:tc>
          <w:tcPr>
            <w:tcW w:w="1982"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150万元</w:t>
            </w:r>
          </w:p>
        </w:tc>
        <w:tc>
          <w:tcPr>
            <w:tcW w:w="2552"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自然科学类1000万元</w:t>
            </w:r>
          </w:p>
          <w:p>
            <w:pPr>
              <w:pStyle w:val="2"/>
              <w:keepNext w:val="0"/>
              <w:keepLines w:val="0"/>
              <w:widowControl/>
              <w:suppressLineNumbers w:val="0"/>
              <w:spacing w:line="360" w:lineRule="atLeast"/>
              <w:jc w:val="center"/>
            </w:pPr>
            <w:r>
              <w:rPr>
                <w:rFonts w:hint="default" w:ascii="Arial" w:hAnsi="Arial" w:cs="Arial"/>
                <w:color w:val="717171"/>
                <w:sz w:val="18"/>
                <w:szCs w:val="18"/>
              </w:rPr>
              <w:t>人文社科类200万元</w:t>
            </w:r>
          </w:p>
        </w:tc>
        <w:tc>
          <w:tcPr>
            <w:tcW w:w="1276"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解决配偶工作</w:t>
            </w:r>
          </w:p>
        </w:tc>
        <w:tc>
          <w:tcPr>
            <w:tcW w:w="1276"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不低于120万元年薪</w:t>
            </w:r>
          </w:p>
        </w:tc>
        <w:tc>
          <w:tcPr>
            <w:tcW w:w="1367"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提供住房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706"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第二层次人才：国家“千人计划”人选(长期项目),国家“万人计划”杰出人才、领军人才和教学名师，教育部“长江学者奖励计划”特聘教授，国家杰出青年科学基金项目获得者，国家自然（社会）科学基金重大项目负责人，各类国家科技计划主要负责人，总装与国防科技型号总师。</w:t>
            </w:r>
          </w:p>
        </w:tc>
        <w:tc>
          <w:tcPr>
            <w:tcW w:w="1276"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15万元</w:t>
            </w:r>
          </w:p>
        </w:tc>
        <w:tc>
          <w:tcPr>
            <w:tcW w:w="1982"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100万元</w:t>
            </w:r>
          </w:p>
        </w:tc>
        <w:tc>
          <w:tcPr>
            <w:tcW w:w="2552"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自然科学类500万元</w:t>
            </w:r>
          </w:p>
          <w:p>
            <w:pPr>
              <w:pStyle w:val="2"/>
              <w:keepNext w:val="0"/>
              <w:keepLines w:val="0"/>
              <w:widowControl/>
              <w:suppressLineNumbers w:val="0"/>
              <w:spacing w:line="360" w:lineRule="atLeast"/>
              <w:jc w:val="center"/>
            </w:pPr>
            <w:r>
              <w:rPr>
                <w:rFonts w:hint="default" w:ascii="Arial" w:hAnsi="Arial" w:cs="Arial"/>
                <w:color w:val="717171"/>
                <w:sz w:val="18"/>
                <w:szCs w:val="18"/>
              </w:rPr>
              <w:t>人文社科类100万元</w:t>
            </w:r>
          </w:p>
        </w:tc>
        <w:tc>
          <w:tcPr>
            <w:tcW w:w="1276"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解决配偶工作</w:t>
            </w:r>
          </w:p>
        </w:tc>
        <w:tc>
          <w:tcPr>
            <w:tcW w:w="1276"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不低于80万元年薪</w:t>
            </w:r>
          </w:p>
        </w:tc>
        <w:tc>
          <w:tcPr>
            <w:tcW w:w="1367"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提供住房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706"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第三层次人才：“新世纪百千万人才工程”国家级人选，国家“青年千人计划”人选，国家“万人计划”青年拔尖人才，中国科学院“百人计划”人选，国家优秀青年科学基金项目获得者，国家自然（社会）科学基金重点项目负责人，教育部“长江学者奖励计划”讲座教授/青年学者。</w:t>
            </w:r>
          </w:p>
        </w:tc>
        <w:tc>
          <w:tcPr>
            <w:tcW w:w="1276"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15万元</w:t>
            </w:r>
          </w:p>
        </w:tc>
        <w:tc>
          <w:tcPr>
            <w:tcW w:w="1982"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35万元</w:t>
            </w:r>
          </w:p>
        </w:tc>
        <w:tc>
          <w:tcPr>
            <w:tcW w:w="2552"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自然科学类60万元</w:t>
            </w:r>
          </w:p>
          <w:p>
            <w:pPr>
              <w:pStyle w:val="2"/>
              <w:keepNext w:val="0"/>
              <w:keepLines w:val="0"/>
              <w:widowControl/>
              <w:suppressLineNumbers w:val="0"/>
              <w:spacing w:line="360" w:lineRule="atLeast"/>
              <w:jc w:val="center"/>
            </w:pPr>
            <w:r>
              <w:rPr>
                <w:rFonts w:hint="default" w:ascii="Arial" w:hAnsi="Arial" w:cs="Arial"/>
                <w:color w:val="717171"/>
                <w:sz w:val="18"/>
                <w:szCs w:val="18"/>
              </w:rPr>
              <w:t>人文社科类20万元。</w:t>
            </w:r>
          </w:p>
        </w:tc>
        <w:tc>
          <w:tcPr>
            <w:tcW w:w="1276"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解决配偶工作</w:t>
            </w:r>
          </w:p>
        </w:tc>
        <w:tc>
          <w:tcPr>
            <w:tcW w:w="1276"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不低于40万元年薪</w:t>
            </w:r>
          </w:p>
        </w:tc>
        <w:tc>
          <w:tcPr>
            <w:tcW w:w="1367"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提供住房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50" w:hRule="atLeast"/>
          <w:tblCellSpacing w:w="0" w:type="dxa"/>
        </w:trPr>
        <w:tc>
          <w:tcPr>
            <w:tcW w:w="5706"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第四层次人才：科技部中青年科技创新领军人才，教育部新世纪优秀人才入选者，江西省“井冈学者”特聘教授，江西省“赣鄱英才555工程”领军人才，江西省突出贡献人才，江西省主要学术学科与技术带头人，江西省“双千计划”创新领军人才长期项目入选者及其他省（市）与之相应的人才计划入选者。</w:t>
            </w:r>
          </w:p>
        </w:tc>
        <w:tc>
          <w:tcPr>
            <w:tcW w:w="1276"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15万元</w:t>
            </w:r>
          </w:p>
        </w:tc>
        <w:tc>
          <w:tcPr>
            <w:tcW w:w="1982"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35万元</w:t>
            </w:r>
          </w:p>
        </w:tc>
        <w:tc>
          <w:tcPr>
            <w:tcW w:w="2552"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自然科学类50万元</w:t>
            </w:r>
          </w:p>
          <w:p>
            <w:pPr>
              <w:pStyle w:val="2"/>
              <w:keepNext w:val="0"/>
              <w:keepLines w:val="0"/>
              <w:widowControl/>
              <w:suppressLineNumbers w:val="0"/>
              <w:spacing w:line="360" w:lineRule="atLeast"/>
              <w:jc w:val="center"/>
            </w:pPr>
            <w:r>
              <w:rPr>
                <w:rFonts w:hint="default" w:ascii="Arial" w:hAnsi="Arial" w:cs="Arial"/>
                <w:color w:val="717171"/>
                <w:sz w:val="18"/>
                <w:szCs w:val="18"/>
              </w:rPr>
              <w:t>人文社科类20万元。</w:t>
            </w:r>
          </w:p>
          <w:p>
            <w:pPr>
              <w:pStyle w:val="2"/>
              <w:keepNext w:val="0"/>
              <w:keepLines w:val="0"/>
              <w:widowControl/>
              <w:suppressLineNumbers w:val="0"/>
              <w:spacing w:line="360" w:lineRule="atLeast"/>
              <w:jc w:val="center"/>
            </w:pPr>
            <w:r>
              <w:rPr>
                <w:rFonts w:hint="default" w:ascii="Arial" w:hAnsi="Arial" w:cs="Arial"/>
                <w:color w:val="717171"/>
                <w:sz w:val="18"/>
                <w:szCs w:val="18"/>
              </w:rPr>
              <w:t> </w:t>
            </w:r>
          </w:p>
        </w:tc>
        <w:tc>
          <w:tcPr>
            <w:tcW w:w="1276"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解决配偶工作</w:t>
            </w:r>
          </w:p>
        </w:tc>
        <w:tc>
          <w:tcPr>
            <w:tcW w:w="1276"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聘期内按岗位确定工资收入并每年提供不少于9万元的专项津贴（或40万元年薪）。</w:t>
            </w:r>
          </w:p>
        </w:tc>
        <w:tc>
          <w:tcPr>
            <w:tcW w:w="1367" w:type="dxa"/>
            <w:shd w:val="clear"/>
            <w:vAlign w:val="center"/>
          </w:tcPr>
          <w:p>
            <w:pPr>
              <w:pStyle w:val="2"/>
              <w:keepNext w:val="0"/>
              <w:keepLines w:val="0"/>
              <w:widowControl/>
              <w:suppressLineNumbers w:val="0"/>
              <w:spacing w:line="360" w:lineRule="atLeast"/>
              <w:jc w:val="center"/>
            </w:pPr>
            <w:r>
              <w:rPr>
                <w:rFonts w:hint="default" w:ascii="Arial" w:hAnsi="Arial" w:cs="Arial"/>
                <w:color w:val="717171"/>
                <w:sz w:val="18"/>
                <w:szCs w:val="18"/>
              </w:rPr>
              <w:t>提供住房</w:t>
            </w:r>
          </w:p>
        </w:tc>
      </w:tr>
    </w:tbl>
    <w:p>
      <w:pPr>
        <w:pStyle w:val="2"/>
        <w:keepNext w:val="0"/>
        <w:keepLines w:val="0"/>
        <w:widowControl/>
        <w:suppressLineNumbers w:val="0"/>
        <w:spacing w:line="360" w:lineRule="atLeast"/>
        <w:jc w:val="left"/>
      </w:pPr>
      <w:r>
        <w:rPr>
          <w:rStyle w:val="5"/>
          <w:rFonts w:hint="default" w:ascii="Arial" w:hAnsi="Arial" w:cs="Arial"/>
          <w:color w:val="4D4D4D"/>
          <w:sz w:val="24"/>
          <w:szCs w:val="24"/>
        </w:rPr>
        <w:t>注：第一、二层次人才年龄一般不超过55周岁，第三、四层次人才年龄一般不超过50周岁（年龄计算截止2019年12月31日）。</w:t>
      </w:r>
    </w:p>
    <w:p>
      <w:pPr>
        <w:pStyle w:val="2"/>
        <w:keepNext w:val="0"/>
        <w:keepLines w:val="0"/>
        <w:widowControl/>
        <w:suppressLineNumbers w:val="0"/>
        <w:spacing w:line="360" w:lineRule="atLeast"/>
        <w:ind w:left="495"/>
        <w:jc w:val="left"/>
      </w:pPr>
      <w:r>
        <w:rPr>
          <w:rFonts w:hint="default" w:ascii="Arial" w:hAnsi="Arial" w:cs="Arial"/>
          <w:color w:val="4D4D4D"/>
          <w:sz w:val="24"/>
          <w:szCs w:val="24"/>
        </w:rPr>
        <w:t> </w:t>
      </w:r>
      <w:r>
        <w:rPr>
          <w:rStyle w:val="5"/>
          <w:rFonts w:hint="default" w:ascii="Arial" w:hAnsi="Arial" w:cs="Arial"/>
          <w:color w:val="4D4D4D"/>
          <w:sz w:val="24"/>
          <w:szCs w:val="24"/>
        </w:rPr>
        <w:t>（三）南昌航空大学其他博士引进待遇。</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488"/>
        <w:gridCol w:w="3120"/>
        <w:gridCol w:w="1761"/>
        <w:gridCol w:w="19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tblCellSpacing w:w="0" w:type="dxa"/>
        </w:trPr>
        <w:tc>
          <w:tcPr>
            <w:tcW w:w="1488"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类 别</w:t>
            </w:r>
          </w:p>
        </w:tc>
        <w:tc>
          <w:tcPr>
            <w:tcW w:w="3120"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条 件</w:t>
            </w:r>
          </w:p>
        </w:tc>
        <w:tc>
          <w:tcPr>
            <w:tcW w:w="1761"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安家费、住房补贴（元）</w:t>
            </w:r>
          </w:p>
        </w:tc>
        <w:tc>
          <w:tcPr>
            <w:tcW w:w="1967"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科研启动及平台建设经费（元）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36" w:hRule="atLeast"/>
          <w:tblCellSpacing w:w="0" w:type="dxa"/>
        </w:trPr>
        <w:tc>
          <w:tcPr>
            <w:tcW w:w="1488"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海外知名高校博士</w:t>
            </w:r>
          </w:p>
        </w:tc>
        <w:tc>
          <w:tcPr>
            <w:tcW w:w="3120"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同时满足两个条件：</w:t>
            </w:r>
          </w:p>
          <w:p>
            <w:pPr>
              <w:pStyle w:val="2"/>
              <w:keepNext w:val="0"/>
              <w:keepLines w:val="0"/>
              <w:widowControl/>
              <w:suppressLineNumbers w:val="0"/>
              <w:spacing w:line="360" w:lineRule="atLeast"/>
              <w:jc w:val="center"/>
            </w:pPr>
            <w:r>
              <w:rPr>
                <w:rStyle w:val="5"/>
                <w:rFonts w:hint="default" w:ascii="Arial" w:hAnsi="Arial" w:cs="Arial"/>
                <w:color w:val="717171"/>
                <w:sz w:val="18"/>
                <w:szCs w:val="18"/>
              </w:rPr>
              <w:t>（1）全球四大排名前200名高校毕业博士（后），且有国外经历2年及以上。</w:t>
            </w:r>
          </w:p>
          <w:p>
            <w:pPr>
              <w:pStyle w:val="2"/>
              <w:keepNext w:val="0"/>
              <w:keepLines w:val="0"/>
              <w:widowControl/>
              <w:suppressLineNumbers w:val="0"/>
              <w:spacing w:line="360" w:lineRule="atLeast"/>
              <w:jc w:val="center"/>
            </w:pPr>
            <w:r>
              <w:rPr>
                <w:rStyle w:val="5"/>
                <w:rFonts w:hint="default" w:ascii="Arial" w:hAnsi="Arial" w:cs="Arial"/>
                <w:color w:val="717171"/>
                <w:sz w:val="18"/>
                <w:szCs w:val="18"/>
              </w:rPr>
              <w:t>（2）第一作者发表一区论文2篇及以上。</w:t>
            </w:r>
          </w:p>
        </w:tc>
        <w:tc>
          <w:tcPr>
            <w:tcW w:w="1761"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安家费：12—15万</w:t>
            </w:r>
          </w:p>
          <w:p>
            <w:pPr>
              <w:pStyle w:val="2"/>
              <w:keepNext w:val="0"/>
              <w:keepLines w:val="0"/>
              <w:widowControl/>
              <w:suppressLineNumbers w:val="0"/>
              <w:spacing w:line="360" w:lineRule="atLeast"/>
              <w:jc w:val="center"/>
            </w:pPr>
            <w:r>
              <w:rPr>
                <w:rStyle w:val="5"/>
                <w:rFonts w:hint="default" w:ascii="Arial" w:hAnsi="Arial" w:cs="Arial"/>
                <w:color w:val="717171"/>
                <w:sz w:val="18"/>
                <w:szCs w:val="18"/>
              </w:rPr>
              <w:t>住房补贴：30万</w:t>
            </w:r>
          </w:p>
        </w:tc>
        <w:tc>
          <w:tcPr>
            <w:tcW w:w="1967"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理工类20万</w:t>
            </w:r>
          </w:p>
          <w:p>
            <w:pPr>
              <w:pStyle w:val="2"/>
              <w:keepNext w:val="0"/>
              <w:keepLines w:val="0"/>
              <w:widowControl/>
              <w:suppressLineNumbers w:val="0"/>
              <w:spacing w:line="360" w:lineRule="atLeast"/>
              <w:jc w:val="center"/>
            </w:pPr>
            <w:r>
              <w:rPr>
                <w:rStyle w:val="5"/>
                <w:rFonts w:hint="default" w:ascii="Arial" w:hAnsi="Arial" w:cs="Arial"/>
                <w:color w:val="717171"/>
                <w:sz w:val="18"/>
                <w:szCs w:val="18"/>
              </w:rPr>
              <w:t>人文社科类10万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1488"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航空类博士</w:t>
            </w:r>
          </w:p>
        </w:tc>
        <w:tc>
          <w:tcPr>
            <w:tcW w:w="3120"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航空宇航科学与技术学科</w:t>
            </w:r>
          </w:p>
        </w:tc>
        <w:tc>
          <w:tcPr>
            <w:tcW w:w="1761"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安家费：12万</w:t>
            </w:r>
          </w:p>
          <w:p>
            <w:pPr>
              <w:pStyle w:val="2"/>
              <w:keepNext w:val="0"/>
              <w:keepLines w:val="0"/>
              <w:widowControl/>
              <w:suppressLineNumbers w:val="0"/>
              <w:spacing w:line="360" w:lineRule="atLeast"/>
              <w:jc w:val="center"/>
            </w:pPr>
            <w:r>
              <w:rPr>
                <w:rStyle w:val="5"/>
                <w:rFonts w:hint="default" w:ascii="Arial" w:hAnsi="Arial" w:cs="Arial"/>
                <w:color w:val="717171"/>
                <w:sz w:val="18"/>
                <w:szCs w:val="18"/>
              </w:rPr>
              <w:t>住房补贴：25万</w:t>
            </w:r>
          </w:p>
        </w:tc>
        <w:tc>
          <w:tcPr>
            <w:tcW w:w="1967"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20万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tblCellSpacing w:w="0" w:type="dxa"/>
        </w:trPr>
        <w:tc>
          <w:tcPr>
            <w:tcW w:w="1488"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博  士</w:t>
            </w:r>
          </w:p>
        </w:tc>
        <w:tc>
          <w:tcPr>
            <w:tcW w:w="3120"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与学校现有学科专业相符</w:t>
            </w:r>
          </w:p>
        </w:tc>
        <w:tc>
          <w:tcPr>
            <w:tcW w:w="1761"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安家费：12万</w:t>
            </w:r>
          </w:p>
          <w:p>
            <w:pPr>
              <w:pStyle w:val="2"/>
              <w:keepNext w:val="0"/>
              <w:keepLines w:val="0"/>
              <w:widowControl/>
              <w:suppressLineNumbers w:val="0"/>
              <w:spacing w:line="360" w:lineRule="atLeast"/>
              <w:jc w:val="center"/>
            </w:pPr>
            <w:r>
              <w:rPr>
                <w:rStyle w:val="5"/>
                <w:rFonts w:hint="default" w:ascii="Arial" w:hAnsi="Arial" w:cs="Arial"/>
                <w:color w:val="717171"/>
                <w:sz w:val="18"/>
                <w:szCs w:val="18"/>
              </w:rPr>
              <w:t>住房补贴：20万</w:t>
            </w:r>
          </w:p>
        </w:tc>
        <w:tc>
          <w:tcPr>
            <w:tcW w:w="1967" w:type="dxa"/>
            <w:shd w:val="clear"/>
            <w:vAlign w:val="center"/>
          </w:tcPr>
          <w:p>
            <w:pPr>
              <w:pStyle w:val="2"/>
              <w:keepNext w:val="0"/>
              <w:keepLines w:val="0"/>
              <w:widowControl/>
              <w:suppressLineNumbers w:val="0"/>
              <w:spacing w:line="360" w:lineRule="atLeast"/>
              <w:jc w:val="center"/>
            </w:pPr>
            <w:r>
              <w:rPr>
                <w:rStyle w:val="5"/>
                <w:rFonts w:hint="default" w:ascii="Arial" w:hAnsi="Arial" w:cs="Arial"/>
                <w:color w:val="717171"/>
                <w:sz w:val="18"/>
                <w:szCs w:val="18"/>
              </w:rPr>
              <w:t>理工类20万</w:t>
            </w:r>
          </w:p>
          <w:p>
            <w:pPr>
              <w:pStyle w:val="2"/>
              <w:keepNext w:val="0"/>
              <w:keepLines w:val="0"/>
              <w:widowControl/>
              <w:suppressLineNumbers w:val="0"/>
              <w:spacing w:line="360" w:lineRule="atLeast"/>
              <w:jc w:val="center"/>
            </w:pPr>
            <w:r>
              <w:rPr>
                <w:rStyle w:val="5"/>
                <w:rFonts w:hint="default" w:ascii="Arial" w:hAnsi="Arial" w:cs="Arial"/>
                <w:color w:val="717171"/>
                <w:sz w:val="18"/>
                <w:szCs w:val="18"/>
              </w:rPr>
              <w:t>人文社科类10万</w:t>
            </w:r>
          </w:p>
        </w:tc>
      </w:tr>
    </w:tbl>
    <w:p>
      <w:pPr>
        <w:pStyle w:val="2"/>
        <w:keepNext w:val="0"/>
        <w:keepLines w:val="0"/>
        <w:widowControl/>
        <w:suppressLineNumbers w:val="0"/>
        <w:spacing w:line="360" w:lineRule="atLeast"/>
        <w:jc w:val="left"/>
      </w:pPr>
      <w:r>
        <w:rPr>
          <w:rStyle w:val="5"/>
          <w:rFonts w:hint="default" w:ascii="Arial" w:hAnsi="Arial" w:cs="Arial"/>
          <w:color w:val="4D4D4D"/>
          <w:sz w:val="24"/>
          <w:szCs w:val="24"/>
        </w:rPr>
        <w:t>　　其他说明：</w:t>
      </w:r>
    </w:p>
    <w:p>
      <w:pPr>
        <w:pStyle w:val="2"/>
        <w:keepNext w:val="0"/>
        <w:keepLines w:val="0"/>
        <w:widowControl/>
        <w:suppressLineNumbers w:val="0"/>
        <w:spacing w:line="360" w:lineRule="atLeast"/>
        <w:jc w:val="left"/>
      </w:pPr>
      <w:r>
        <w:rPr>
          <w:rFonts w:hint="default" w:ascii="Arial" w:hAnsi="Arial" w:cs="Arial"/>
          <w:color w:val="4D4D4D"/>
          <w:sz w:val="24"/>
          <w:szCs w:val="24"/>
        </w:rPr>
        <w:t>　　1、全球四大排名是指：ARWU、US News、QS、THE。</w:t>
      </w:r>
    </w:p>
    <w:p>
      <w:pPr>
        <w:pStyle w:val="2"/>
        <w:keepNext w:val="0"/>
        <w:keepLines w:val="0"/>
        <w:widowControl/>
        <w:suppressLineNumbers w:val="0"/>
        <w:spacing w:line="360" w:lineRule="atLeast"/>
        <w:jc w:val="left"/>
      </w:pPr>
      <w:r>
        <w:rPr>
          <w:rFonts w:hint="default" w:ascii="Arial" w:hAnsi="Arial" w:cs="Arial"/>
          <w:color w:val="4D4D4D"/>
          <w:sz w:val="24"/>
          <w:szCs w:val="24"/>
        </w:rPr>
        <w:t>　　2、提供过渡性住房一套;学校附属中学、小学、幼儿园为南昌市优质教育机构，职工子女可优先入学，不受户籍限制。</w:t>
      </w:r>
    </w:p>
    <w:p>
      <w:pPr>
        <w:pStyle w:val="2"/>
        <w:keepNext w:val="0"/>
        <w:keepLines w:val="0"/>
        <w:widowControl/>
        <w:suppressLineNumbers w:val="0"/>
        <w:spacing w:line="360" w:lineRule="atLeast"/>
        <w:jc w:val="left"/>
      </w:pPr>
      <w:r>
        <w:rPr>
          <w:rFonts w:hint="default" w:ascii="Arial" w:hAnsi="Arial" w:cs="Arial"/>
          <w:color w:val="4D4D4D"/>
          <w:sz w:val="24"/>
          <w:szCs w:val="24"/>
        </w:rPr>
        <w:t>　　3、学校地理位置优越，东靠赣江西接前湖，毗邻江西省委省政府，地铁2号线直达校门口，距离昌北机场和南昌西高铁站分别为30分钟和12分钟左右。</w:t>
      </w:r>
    </w:p>
    <w:p>
      <w:pPr>
        <w:pStyle w:val="2"/>
        <w:keepNext w:val="0"/>
        <w:keepLines w:val="0"/>
        <w:widowControl/>
        <w:suppressLineNumbers w:val="0"/>
        <w:spacing w:line="360" w:lineRule="atLeast"/>
        <w:jc w:val="left"/>
      </w:pPr>
      <w:r>
        <w:rPr>
          <w:rStyle w:val="5"/>
          <w:rFonts w:hint="default" w:ascii="Arial" w:hAnsi="Arial" w:cs="Arial"/>
          <w:color w:val="4D4D4D"/>
          <w:sz w:val="24"/>
          <w:szCs w:val="24"/>
        </w:rPr>
        <w:t>　　（四）联合招聘单位入职岗位和相关待遇详见后续发布的《联合招聘公告二》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8B16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D4D4D"/>
      <w:u w:val="none"/>
    </w:rPr>
  </w:style>
  <w:style w:type="character" w:styleId="7">
    <w:name w:val="Hyperlink"/>
    <w:basedOn w:val="4"/>
    <w:uiPriority w:val="0"/>
    <w:rPr>
      <w:color w:val="4D4D4D"/>
      <w:u w:val="none"/>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桂志兴</cp:lastModifiedBy>
  <dcterms:modified xsi:type="dcterms:W3CDTF">2019-05-28T04:11:44Z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