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</w:pPr>
      <w:r>
        <w:rPr>
          <w:rFonts w:hint="eastAsia"/>
        </w:rPr>
        <w:t>附件1    常德市交建投集</w:t>
      </w:r>
      <w:bookmarkStart w:id="0" w:name="_GoBack"/>
      <w:bookmarkEnd w:id="0"/>
      <w:r>
        <w:rPr>
          <w:rFonts w:hint="eastAsia"/>
        </w:rPr>
        <w:t>团2019年人员招聘计划表</w:t>
      </w:r>
    </w:p>
    <w:p/>
    <w:tbl>
      <w:tblPr>
        <w:tblStyle w:val="5"/>
        <w:tblW w:w="88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09"/>
        <w:gridCol w:w="992"/>
        <w:gridCol w:w="850"/>
        <w:gridCol w:w="1381"/>
        <w:gridCol w:w="40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岗位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招聘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7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最低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年龄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要求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专业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要求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1984年6月1日以后出生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会计学、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财务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管理、金融等相关专业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熟悉财经法律法规，系统地掌握财务理论和专业知识；具有</w:t>
            </w:r>
            <w:r>
              <w:rPr>
                <w:rFonts w:hint="eastAsia" w:ascii="仿宋" w:hAnsi="仿宋" w:eastAsia="仿宋" w:cs="宋体"/>
                <w:color w:val="FF0000"/>
                <w:kern w:val="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年以上会计工作经验，且能独立处理全盘财务会计业务；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拥有会计系列中级及以上职称或注册会计师证书；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熟悉一般纳税人税务管理实务操作；具有一定的文字功底，爱岗敬业诚实守信，具有良好的职业素养。</w:t>
            </w:r>
          </w:p>
          <w:p>
            <w:pPr>
              <w:widowControl/>
              <w:spacing w:line="560" w:lineRule="exact"/>
              <w:ind w:firstLine="420" w:firstLineChars="200"/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有房地产公司、大型集团公司或上市公司3年以上工作经验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  <w:t>者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优先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出纳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1994年6月1日以后出生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会计学、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财务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管理、金融等相关专业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 熟悉财经法律法规，系统地掌握财务理论和专业知识；爱岗敬业，诚实守信，具有良好的职业素养。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工会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专干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全日制本科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1991年6月1日以后出生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不限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 男性，身高1.8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米以上，身体健康，能适应篮球专业训练与比赛。具备国家二级篮球专业运动员或国家二级篮球裁判资格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或参加过省市级篮球比赛优先。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D1BD8"/>
    <w:rsid w:val="330820EC"/>
    <w:rsid w:val="357D1BD8"/>
    <w:rsid w:val="45C0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2019-05-23T07:57:00Z</dcterms:created>
  <dc:creator>Administrator</dc:creator>
  <cp:lastModifiedBy>Administrator</cp:lastModifiedBy>
  <dcterms:modified xsi:type="dcterms:W3CDTF">2019-05-23T08:08:49Z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