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为规范我省机关事业单位招考中的专业条件设置和审核工作，现</w:t>
      </w:r>
      <w:r>
        <w:rPr>
          <w:rFonts w:ascii="宋体" w:hAnsi="宋体" w:eastAsia="宋体" w:cs="宋体"/>
          <w:color w:val="000000"/>
          <w:kern w:val="0"/>
          <w:sz w:val="24"/>
          <w:szCs w:val="24"/>
          <w:bdr w:val="none" w:color="auto" w:sz="0" w:space="0"/>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ascii="宋体" w:hAnsi="宋体" w:eastAsia="宋体" w:cs="宋体"/>
          <w:color w:val="000000"/>
          <w:spacing w:val="-10"/>
          <w:kern w:val="0"/>
          <w:sz w:val="24"/>
          <w:szCs w:val="24"/>
          <w:bdr w:val="none" w:color="auto" w:sz="0" w:space="0"/>
          <w:shd w:val="clear" w:fill="FEFEFE"/>
          <w:lang w:val="en-US" w:eastAsia="zh-CN" w:bidi="ar"/>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bdr w:val="none" w:color="auto" w:sz="0" w:space="0"/>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kern w:val="0"/>
          <w:sz w:val="24"/>
          <w:szCs w:val="24"/>
          <w:bdr w:val="none" w:color="auto" w:sz="0" w:space="0"/>
          <w:shd w:val="clear" w:fill="FEFEFE"/>
          <w:lang w:val="en-US" w:eastAsia="zh-CN" w:bidi="ar"/>
        </w:rPr>
        <w:t>本目录将根据形势的变化进行相应的调整，并</w:t>
      </w:r>
      <w:r>
        <w:rPr>
          <w:rFonts w:ascii="宋体" w:hAnsi="宋体" w:eastAsia="宋体" w:cs="宋体"/>
          <w:color w:val="000000"/>
          <w:spacing w:val="-10"/>
          <w:kern w:val="0"/>
          <w:sz w:val="24"/>
          <w:szCs w:val="24"/>
          <w:bdr w:val="none" w:color="auto" w:sz="0" w:space="0"/>
          <w:shd w:val="clear" w:fill="FEFEFE"/>
          <w:lang w:val="en-US" w:eastAsia="zh-CN" w:bidi="ar"/>
        </w:rPr>
        <w:t>由省级</w:t>
      </w:r>
      <w:r>
        <w:rPr>
          <w:rFonts w:ascii="宋体" w:hAnsi="宋体" w:eastAsia="宋体" w:cs="宋体"/>
          <w:color w:val="000000"/>
          <w:kern w:val="0"/>
          <w:sz w:val="24"/>
          <w:szCs w:val="24"/>
          <w:bdr w:val="none" w:color="auto" w:sz="0" w:space="0"/>
          <w:shd w:val="clear" w:fill="FEFEFE"/>
          <w:lang w:val="en-US" w:eastAsia="zh-CN" w:bidi="ar"/>
        </w:rPr>
        <w:t>组织、人社行政部门</w:t>
      </w:r>
      <w:r>
        <w:rPr>
          <w:rFonts w:ascii="宋体" w:hAnsi="宋体" w:eastAsia="宋体" w:cs="宋体"/>
          <w:color w:val="000000"/>
          <w:spacing w:val="-10"/>
          <w:kern w:val="0"/>
          <w:sz w:val="24"/>
          <w:szCs w:val="24"/>
          <w:bdr w:val="none" w:color="auto" w:sz="0" w:space="0"/>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kern w:val="0"/>
          <w:sz w:val="24"/>
          <w:szCs w:val="24"/>
          <w:bdr w:val="none" w:color="auto" w:sz="0" w:space="0"/>
          <w:shd w:val="clear" w:fill="FEFEFE"/>
          <w:lang w:val="en-US" w:eastAsia="zh-CN" w:bidi="ar"/>
        </w:rPr>
        <w:t> </w:t>
      </w:r>
    </w:p>
    <w:p>
      <w:pPr>
        <w:pStyle w:val="2"/>
        <w:keepNext w:val="0"/>
        <w:keepLines w:val="0"/>
        <w:widowControl/>
        <w:suppressLineNumbers w:val="0"/>
      </w:pPr>
      <w:r>
        <w:rPr>
          <w:bdr w:val="none" w:color="auto" w:sz="0" w:space="0"/>
          <w:shd w:val="clear" w:fill="FEFEFE"/>
        </w:rPr>
        <w:t> </w:t>
      </w:r>
    </w:p>
    <w:tbl>
      <w:tblPr>
        <w:tblW w:w="8309" w:type="dxa"/>
        <w:tblInd w:w="213" w:type="dxa"/>
        <w:shd w:val="clear"/>
        <w:tblLayout w:type="fixed"/>
        <w:tblCellMar>
          <w:top w:w="0" w:type="dxa"/>
          <w:left w:w="0" w:type="dxa"/>
          <w:bottom w:w="0" w:type="dxa"/>
          <w:right w:w="0" w:type="dxa"/>
        </w:tblCellMar>
      </w:tblPr>
      <w:tblGrid>
        <w:gridCol w:w="8309"/>
      </w:tblGrid>
      <w:tr>
        <w:tblPrEx>
          <w:shd w:val="clear"/>
          <w:tblLayout w:type="fixed"/>
          <w:tblCellMar>
            <w:top w:w="0" w:type="dxa"/>
            <w:left w:w="0" w:type="dxa"/>
            <w:bottom w:w="0" w:type="dxa"/>
            <w:right w:w="0" w:type="dxa"/>
          </w:tblCellMar>
        </w:tblPrEx>
        <w:tc>
          <w:tcPr>
            <w:tcW w:w="83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347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shd w:val="clear"/>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3. </w:t>
            </w:r>
            <w:r>
              <w:rPr>
                <w:rFonts w:ascii="宋体" w:hAnsi="宋体" w:eastAsia="宋体" w:cs="宋体"/>
                <w:b/>
                <w:kern w:val="0"/>
                <w:sz w:val="24"/>
                <w:szCs w:val="24"/>
                <w:bdr w:val="none" w:color="auto" w:sz="0" w:space="0"/>
                <w:lang w:val="en-US" w:eastAsia="zh-CN" w:bidi="ar"/>
              </w:rPr>
              <w:t>少数民族语言文学类：</w:t>
            </w:r>
            <w:r>
              <w:rPr>
                <w:rFonts w:ascii="宋体" w:hAnsi="宋体" w:eastAsia="宋体" w:cs="宋体"/>
                <w:kern w:val="0"/>
                <w:sz w:val="24"/>
                <w:szCs w:val="24"/>
                <w:bdr w:val="none" w:color="auto" w:sz="0" w:space="0"/>
                <w:lang w:val="en-US" w:eastAsia="zh-CN" w:bidi="ar"/>
              </w:rPr>
              <w:t>中国少数民族语言文学（藏语言文学，蒙古语言文学，维吾尔语言文学，朝鲜语言文学，哈萨克语言文学等），中国少数民族语言文化</w:t>
            </w:r>
          </w:p>
        </w:tc>
      </w:tr>
      <w:tr>
        <w:tblPrEx>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4. 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tblLayout w:type="fixed"/>
          <w:tblCellMar>
            <w:top w:w="0" w:type="dxa"/>
            <w:left w:w="0" w:type="dxa"/>
            <w:bottom w:w="0" w:type="dxa"/>
            <w:right w:w="0" w:type="dxa"/>
          </w:tblCellMar>
        </w:tblPrEx>
        <w:trPr>
          <w:trHeight w:val="1844" w:hRule="atLeast"/>
        </w:trPr>
        <w:tc>
          <w:tcPr>
            <w:tcW w:w="8309"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Layout w:type="fixed"/>
          <w:tblCellMar>
            <w:top w:w="0" w:type="dxa"/>
            <w:left w:w="0" w:type="dxa"/>
            <w:bottom w:w="0" w:type="dxa"/>
            <w:right w:w="0" w:type="dxa"/>
          </w:tblCellMar>
        </w:tblPrEx>
        <w:trPr>
          <w:trHeight w:val="21" w:hRule="atLeast"/>
        </w:trPr>
        <w:tc>
          <w:tcPr>
            <w:tcW w:w="83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6. 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shd w:val="clear"/>
          <w:tblLayout w:type="fixed"/>
          <w:tblCellMar>
            <w:top w:w="0" w:type="dxa"/>
            <w:left w:w="0" w:type="dxa"/>
            <w:bottom w:w="0" w:type="dxa"/>
            <w:right w:w="0" w:type="dxa"/>
          </w:tblCellMar>
        </w:tblPrEx>
        <w:trPr>
          <w:trHeight w:val="32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shd w:val="clear"/>
          <w:tblLayout w:type="fixed"/>
          <w:tblCellMar>
            <w:top w:w="0" w:type="dxa"/>
            <w:left w:w="0" w:type="dxa"/>
            <w:bottom w:w="0" w:type="dxa"/>
            <w:right w:w="0" w:type="dxa"/>
          </w:tblCellMar>
        </w:tblPrEx>
        <w:trPr>
          <w:trHeight w:val="119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统计学（含各类专业统计调查），统计，应用数理统计，应用统计（学），经济统计学，</w:t>
            </w:r>
            <w:r>
              <w:rPr>
                <w:rFonts w:ascii="宋体" w:hAnsi="宋体" w:eastAsia="宋体" w:cs="宋体"/>
                <w:b/>
                <w:kern w:val="0"/>
                <w:sz w:val="24"/>
                <w:szCs w:val="24"/>
                <w:bdr w:val="none" w:color="auto" w:sz="0" w:space="0"/>
                <w:lang w:val="en-US" w:eastAsia="zh-CN" w:bidi="ar"/>
              </w:rPr>
              <w:t>数学类相关专业（</w:t>
            </w:r>
            <w:r>
              <w:rPr>
                <w:rFonts w:ascii="宋体" w:hAnsi="宋体" w:eastAsia="宋体" w:cs="宋体"/>
                <w:kern w:val="0"/>
                <w:sz w:val="24"/>
                <w:szCs w:val="24"/>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14.</w:t>
            </w:r>
            <w:r>
              <w:rPr>
                <w:rFonts w:ascii="宋体" w:hAnsi="宋体" w:eastAsia="宋体" w:cs="宋体"/>
                <w:b/>
                <w:kern w:val="0"/>
                <w:sz w:val="24"/>
                <w:szCs w:val="24"/>
                <w:bdr w:val="none" w:color="auto" w:sz="0" w:space="0"/>
                <w:lang w:val="en-US" w:eastAsia="zh-CN" w:bidi="ar"/>
              </w:rPr>
              <w:t>电商物流类：</w:t>
            </w:r>
            <w:r>
              <w:rPr>
                <w:rFonts w:ascii="宋体" w:hAnsi="宋体" w:eastAsia="宋体" w:cs="宋体"/>
                <w:kern w:val="0"/>
                <w:sz w:val="24"/>
                <w:szCs w:val="24"/>
                <w:bdr w:val="none" w:color="auto" w:sz="0" w:space="0"/>
                <w:lang w:val="en-US" w:eastAsia="zh-CN" w:bidi="ar"/>
              </w:rPr>
              <w:t>电子商务，电子商务及法律，商务信息学，物流，物流管理，物流工程等工程硕士，采购（供应）管理，国际物流，现代物流管理，物流信息，物流信息管理，电子商务物流</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16. 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shd w:val="clear"/>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0" w:type="dxa"/>
            <w:bottom w:w="0" w:type="dxa"/>
            <w:right w:w="0" w:type="dxa"/>
          </w:tblCellMar>
        </w:tblPrEx>
        <w:trPr>
          <w:trHeight w:val="223"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3748"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jc w:val="left"/>
            </w:pPr>
            <w:r>
              <w:rPr>
                <w:rFonts w:ascii="宋体" w:hAnsi="宋体" w:eastAsia="宋体" w:cs="宋体"/>
                <w:b/>
                <w:kern w:val="0"/>
                <w:sz w:val="24"/>
                <w:szCs w:val="24"/>
                <w:lang w:val="en-US" w:eastAsia="zh-CN" w:bidi="ar"/>
              </w:rPr>
              <w:t>21.法学类：</w:t>
            </w:r>
            <w:r>
              <w:rPr>
                <w:rFonts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shd w:val="clear"/>
          <w:tblLayout w:type="fixed"/>
          <w:tblCellMar>
            <w:top w:w="0" w:type="dxa"/>
            <w:left w:w="0" w:type="dxa"/>
            <w:bottom w:w="0" w:type="dxa"/>
            <w:right w:w="0" w:type="dxa"/>
          </w:tblCellMar>
        </w:tblPrEx>
        <w:trPr>
          <w:trHeight w:val="331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中的“31.公安技术类”也可报考公安学类</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Layout w:type="fixed"/>
          <w:tblCellMar>
            <w:top w:w="0" w:type="dxa"/>
            <w:left w:w="0" w:type="dxa"/>
            <w:bottom w:w="0" w:type="dxa"/>
            <w:right w:w="0" w:type="dxa"/>
          </w:tblCellMar>
        </w:tblPrEx>
        <w:trPr>
          <w:trHeight w:val="162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地球物理学，地球与空间科学，空间科学与技术，固体地球物理学，空间物理学，信息技术与地球物理，应用地球物理，空间信息与数字技术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心理学，应用心理学（含临床心理学方向，犯罪心理学，社会心理学，心理咨询等），基础心理学，发展与教育心理学，人格心理学，认知神经科学，临床心理学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shd w:val="clear"/>
          <w:tblLayout w:type="fixed"/>
          <w:tblCellMar>
            <w:top w:w="0" w:type="dxa"/>
            <w:left w:w="0" w:type="dxa"/>
            <w:bottom w:w="0" w:type="dxa"/>
            <w:right w:w="0" w:type="dxa"/>
          </w:tblCellMar>
        </w:tblPrEx>
        <w:trPr>
          <w:trHeight w:val="5367"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精密仪器及机械，测试计量技术及仪器，仪器科学与技术，工程硕士（仪器仪表工程），电子测量技术与仪器</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36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电子信息类：通信信息类</w:t>
            </w:r>
            <w:r>
              <w:rPr>
                <w:rFonts w:ascii="宋体" w:hAnsi="宋体" w:eastAsia="宋体" w:cs="宋体"/>
                <w:kern w:val="0"/>
                <w:sz w:val="24"/>
                <w:szCs w:val="24"/>
                <w:bdr w:val="none" w:color="auto" w:sz="0" w:space="0"/>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51.</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52.</w:t>
            </w:r>
            <w:r>
              <w:rPr>
                <w:rFonts w:ascii="宋体" w:hAnsi="宋体" w:eastAsia="宋体" w:cs="宋体"/>
                <w:b/>
                <w:kern w:val="0"/>
                <w:sz w:val="24"/>
                <w:szCs w:val="24"/>
                <w:bdr w:val="none" w:color="auto" w:sz="0" w:space="0"/>
                <w:lang w:val="en-US" w:eastAsia="zh-CN" w:bidi="ar"/>
              </w:rPr>
              <w:t>计算机科学与技术类：计算机硬件技术类，计算机软件类，计算机网络技术类，计算机信息管理类，计算机多媒体技术类，计算机专门应用类</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53. 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55. 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56.</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57. 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shd w:val="clear"/>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建筑技术与工程管理学，道路与桥梁，土木建筑工程，房屋建筑工程，建筑装饰技术，土建设计施工，工程造价，工程监理，工程造价管理，设计学，水工业技术，水务工程</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Layout w:type="fixed"/>
          <w:tblCellMar>
            <w:top w:w="0" w:type="dxa"/>
            <w:left w:w="0" w:type="dxa"/>
            <w:bottom w:w="0" w:type="dxa"/>
            <w:right w:w="0" w:type="dxa"/>
          </w:tblCellMar>
        </w:tblPrEx>
        <w:trPr>
          <w:trHeight w:val="99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交通运输，交通工程，物流工程，交通信息工程及控制，交通运输规划与管理，交通设备与控制工程，救助与打捞工程，交通运输工程</w:t>
            </w:r>
          </w:p>
        </w:tc>
      </w:tr>
      <w:tr>
        <w:tblPrEx>
          <w:tblLayout w:type="fixed"/>
          <w:tblCellMar>
            <w:top w:w="0" w:type="dxa"/>
            <w:left w:w="0" w:type="dxa"/>
            <w:bottom w:w="0" w:type="dxa"/>
            <w:right w:w="0" w:type="dxa"/>
          </w:tblCellMar>
        </w:tblPrEx>
        <w:trPr>
          <w:trHeight w:val="347"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道路与铁道工程，城市轨道交通车辆，城市轨道交通控制，城市轨道交通工程技术，城市轨道交通运营管理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理论与应用力学，工程力学，工程结构分析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生物系统工程，生物技术及应用，生物实验技术，生物化工工艺，微生物技术及应用，病原生物学生物工程，微生物学与生化药学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tblLayout w:type="fixed"/>
          <w:tblCellMar>
            <w:top w:w="0" w:type="dxa"/>
            <w:left w:w="0" w:type="dxa"/>
            <w:bottom w:w="0" w:type="dxa"/>
            <w:right w:w="0" w:type="dxa"/>
          </w:tblCellMar>
        </w:tblPrEx>
        <w:trPr>
          <w:trHeight w:val="4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公共卫生与预防医学类：</w:t>
            </w:r>
            <w:r>
              <w:rPr>
                <w:rFonts w:ascii="宋体" w:hAnsi="宋体" w:eastAsia="宋体" w:cs="宋体"/>
                <w:kern w:val="0"/>
                <w:sz w:val="24"/>
                <w:szCs w:val="24"/>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Layout w:type="fixed"/>
          <w:tblCellMar>
            <w:top w:w="0" w:type="dxa"/>
            <w:left w:w="0" w:type="dxa"/>
            <w:bottom w:w="0" w:type="dxa"/>
            <w:right w:w="0" w:type="dxa"/>
          </w:tblCellMar>
        </w:tblPrEx>
        <w:trPr>
          <w:trHeight w:val="186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中医学和中西医结合类：</w:t>
            </w:r>
            <w:r>
              <w:rPr>
                <w:rFonts w:ascii="宋体" w:hAnsi="宋体" w:eastAsia="宋体" w:cs="宋体"/>
                <w:kern w:val="0"/>
                <w:sz w:val="24"/>
                <w:szCs w:val="24"/>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中药（学），藏药学，中药资源与开发，蒙药学，中草药栽培与鉴定，生药学，中药制药，维药学(药剂方向) ，中药鉴定与质量检测技术，现代中药技术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shd w:val="clear"/>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105.</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108.</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109.</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rPr>
          <w:trHeight w:val="540" w:hRule="atLeast"/>
        </w:trPr>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110.</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备注：本专业指导目录未列入的各类新专业符合教育行政主管部门相关规定的，经审核备案后于次年进行更新。</w:t>
            </w:r>
          </w:p>
        </w:tc>
      </w:tr>
    </w:tbl>
    <w:p>
      <w:pPr>
        <w:pStyle w:val="2"/>
        <w:keepNext w:val="0"/>
        <w:keepLines w:val="0"/>
        <w:widowControl/>
        <w:suppressLineNumbers w:val="0"/>
      </w:pPr>
      <w:r>
        <w:rPr>
          <w:bdr w:val="none" w:color="auto" w:sz="0" w:space="0"/>
          <w:shd w:val="clear" w:fill="FEFEFE"/>
        </w:rPr>
        <w:br w:type="textWrapping"/>
      </w:r>
      <w:r>
        <w:rPr>
          <w:bdr w:val="none" w:color="auto" w:sz="0" w:space="0"/>
          <w:shd w:val="clear" w:fill="FEFEF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C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kern w:val="0"/>
      <w:sz w:val="24"/>
      <w:lang w:val="en-US" w:eastAsia="zh-CN" w:bidi="ar"/>
    </w:rPr>
  </w:style>
  <w:style w:type="character" w:styleId="5">
    <w:name w:val="FollowedHyperlink"/>
    <w:basedOn w:val="4"/>
    <w:uiPriority w:val="0"/>
    <w:rPr>
      <w:color w:val="0000FF"/>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热血小巍</cp:lastModifiedBy>
  <dcterms:modified xsi:type="dcterms:W3CDTF">2019-04-16T06:44:29Z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