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000000"/>
          <w:sz w:val="36"/>
          <w:szCs w:val="32"/>
          <w:highlight w:val="none"/>
          <w:u w:val="none" w:color="auto"/>
          <w:lang w:val="en-US" w:eastAsia="zh-CN"/>
        </w:rPr>
        <w:t>佛山市南海区应急管理局</w:t>
      </w:r>
      <w:r>
        <w:rPr>
          <w:rFonts w:hint="eastAsia" w:ascii="方正小标宋简体" w:hAnsi="方正小标宋简体" w:eastAsia="方正小标宋简体"/>
          <w:color w:val="000000"/>
          <w:sz w:val="36"/>
          <w:szCs w:val="32"/>
          <w:highlight w:val="none"/>
          <w:u w:val="none" w:color="auto"/>
        </w:rPr>
        <w:t>公开招聘机关事业单位辅助工作人员职位表</w:t>
      </w:r>
    </w:p>
    <w:tbl>
      <w:tblPr>
        <w:tblStyle w:val="3"/>
        <w:tblW w:w="14351" w:type="dxa"/>
        <w:tblInd w:w="-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930"/>
        <w:gridCol w:w="2265"/>
        <w:gridCol w:w="1982"/>
        <w:gridCol w:w="780"/>
        <w:gridCol w:w="937"/>
        <w:gridCol w:w="795"/>
        <w:gridCol w:w="705"/>
        <w:gridCol w:w="2880"/>
        <w:gridCol w:w="1155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职位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年龄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学历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学位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专业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年收入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highlight w:val="none"/>
                <w:u w:val="none" w:color="auto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YGFY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u w:val="none" w:color="auto"/>
              </w:rPr>
              <w:t>南海区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u w:val="none" w:color="auto"/>
                <w:lang w:eastAsia="zh-CN"/>
              </w:rPr>
              <w:t>应急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u w:val="none" w:color="auto"/>
              </w:rPr>
              <w:t>管理局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 w:color="auto"/>
                <w:lang w:eastAsia="zh-CN"/>
              </w:rPr>
              <w:t>政策法规和培训科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 w:color="auto"/>
                <w:lang w:eastAsia="zh-CN"/>
              </w:rPr>
              <w:t>辅员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从事案件审核、行政执法等工作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1</w:t>
            </w:r>
          </w:p>
        </w:tc>
        <w:tc>
          <w:tcPr>
            <w:tcW w:w="9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全日制本科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学士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u w:val="none" w:color="auto"/>
                <w:lang w:val="en-US" w:eastAsia="zh-CN"/>
              </w:rPr>
              <w:t>法学类（B0301）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 w:color="auto"/>
                <w:lang w:val="en-US" w:eastAsia="zh-CN"/>
              </w:rPr>
              <w:t>需有2年以上工作经历。</w:t>
            </w:r>
          </w:p>
        </w:tc>
        <w:tc>
          <w:tcPr>
            <w:tcW w:w="1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u w:val="none" w:color="auto"/>
              </w:rPr>
              <w:t>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u w:val="none" w:color="auto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u w:val="none" w:color="auto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u w:val="none" w:color="auto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YGFY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u w:val="none" w:color="auto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 w:color="auto"/>
                <w:lang w:eastAsia="zh-CN"/>
              </w:rPr>
              <w:t>安全生产基础科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 w:color="auto"/>
                <w:lang w:eastAsia="zh-CN"/>
              </w:rPr>
              <w:t>辅员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 w:color="auto"/>
                <w:lang w:eastAsia="zh-CN"/>
              </w:rPr>
              <w:t>从事工矿企业监管、企业巡查检查等工作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1</w:t>
            </w:r>
          </w:p>
        </w:tc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210" w:leftChars="0" w:right="0" w:rightChars="0" w:hanging="210" w:hangingChars="10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u w:val="none" w:color="auto"/>
                <w:lang w:val="en-US" w:eastAsia="zh-CN"/>
              </w:rPr>
              <w:t>安全科学与工程类（B0830）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</w:p>
        </w:tc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YGFY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3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u w:val="none" w:color="auto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 w:color="auto"/>
                <w:lang w:eastAsia="zh-CN"/>
              </w:rPr>
              <w:t>应急指挥中心辅员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 w:color="auto"/>
                <w:lang w:eastAsia="zh-CN"/>
              </w:rPr>
              <w:t>从事应急救援、管理信息系统等工作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1</w:t>
            </w:r>
          </w:p>
        </w:tc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210" w:leftChars="0" w:right="0" w:rightChars="0" w:hanging="210" w:hangingChars="10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u w:val="none" w:color="auto"/>
                <w:lang w:val="en-US" w:eastAsia="zh-CN"/>
              </w:rPr>
              <w:t>计算机类（B0809）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</w:p>
        </w:tc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YGFY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4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u w:val="none" w:color="auto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 w:color="auto"/>
                <w:lang w:eastAsia="zh-CN"/>
              </w:rPr>
              <w:t>综合协调科辅员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 w:color="auto"/>
                <w:lang w:eastAsia="zh-CN"/>
              </w:rPr>
              <w:t>从事公文写作等工作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  <w:t>1</w:t>
            </w:r>
          </w:p>
        </w:tc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210" w:leftChars="0" w:right="0" w:rightChars="0" w:hanging="210" w:hangingChars="10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u w:val="none" w:color="auto"/>
                <w:lang w:val="en-US" w:eastAsia="zh-CN"/>
              </w:rPr>
              <w:t>专业不限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</w:p>
        </w:tc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  <w:u w:val="none" w:color="auto"/>
        </w:rPr>
      </w:pP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  <w:u w:val="none" w:color="auto"/>
        </w:rPr>
        <w:t>说明：①年龄计算时间为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  <w:u w:val="none" w:color="auto"/>
          <w:lang w:val="en-US" w:eastAsia="zh-CN"/>
        </w:rPr>
        <w:t>1988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  <w:u w:val="none" w:color="auto"/>
        </w:rPr>
        <w:t>年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  <w:u w:val="none" w:color="auto"/>
          <w:lang w:val="en-US" w:eastAsia="zh-CN"/>
        </w:rPr>
        <w:t>5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  <w:u w:val="none" w:color="auto"/>
        </w:rPr>
        <w:t>月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  <w:u w:val="none" w:color="auto"/>
          <w:lang w:val="en-US" w:eastAsia="zh-CN"/>
        </w:rPr>
        <w:t>1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  <w:u w:val="none" w:color="auto"/>
        </w:rPr>
        <w:t>日后出生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  <w:u w:val="none" w:color="auto"/>
          <w:lang w:eastAsia="zh-CN"/>
        </w:rPr>
        <w:t>；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  <w:u w:val="none" w:color="auto"/>
        </w:rPr>
        <w:t>②学科、专业代码及名称参照广东省考试录用公务员专业目录（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  <w:u w:val="none" w:color="auto"/>
          <w:lang w:val="en-US" w:eastAsia="zh-CN"/>
        </w:rPr>
        <w:t>2019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  <w:u w:val="none" w:color="auto"/>
        </w:rPr>
        <w:t>版）。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71A64"/>
    <w:rsid w:val="19E71A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区安全生产监督管理局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2019-05-17T08:52:00Z</dcterms:created>
  <dc:creator>Administrator</dc:creator>
  <cp:lastModifiedBy>Administrator</cp:lastModifiedBy>
  <dcterms:modified xsi:type="dcterms:W3CDTF">2019-05-17T08:53:06Z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