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附件2</w:t>
      </w:r>
    </w:p>
    <w:tbl>
      <w:tblPr>
        <w:tblStyle w:val="2"/>
        <w:tblW w:w="14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08"/>
        <w:gridCol w:w="952"/>
        <w:gridCol w:w="525"/>
        <w:gridCol w:w="7650"/>
        <w:gridCol w:w="328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6"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单位名称</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名称</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名额</w:t>
            </w:r>
          </w:p>
        </w:tc>
        <w:tc>
          <w:tcPr>
            <w:tcW w:w="7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岗位要求</w:t>
            </w:r>
          </w:p>
        </w:tc>
        <w:tc>
          <w:tcPr>
            <w:tcW w:w="3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福利及待遇</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24"/>
                <w:szCs w:val="24"/>
                <w:u w:val="none"/>
                <w:lang w:val="en-US" w:eastAsia="zh-CN" w:bidi="ar"/>
              </w:rPr>
            </w:pPr>
            <w:r>
              <w:rPr>
                <w:rFonts w:hint="eastAsia" w:ascii="方正小标宋简体" w:hAnsi="方正小标宋简体" w:eastAsia="方正小标宋简体" w:cs="方正小标宋简体"/>
                <w:i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46" w:hRule="atLeast"/>
        </w:trPr>
        <w:tc>
          <w:tcPr>
            <w:tcW w:w="1008"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叙永县</w:t>
            </w:r>
          </w:p>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兴叙水务投资有限公司</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施工员</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1.全日制大专以上学历，水利水电或工程管理类相关专业；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2.熟练使用工程CAD等办公软件；熟悉水利水电工程类常用施工技术规范；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3.能根据设计图纸进行技术交底，能独立在施工现场进行质量检查、安全检查，能在工程实施各个阶段完成对应的资料填写与编报；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4.具有5年以上水利水电工程施工经验，具有1年以上大型水利水电工程施工经验者优先；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5.具有施工员资格，具备水利二级建造师资格者优先；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6.年龄28周岁以上，40周岁以下，特别优秀者可适当放宽条件。</w:t>
            </w:r>
          </w:p>
        </w:tc>
        <w:tc>
          <w:tcPr>
            <w:tcW w:w="3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试用期3个月，试用期待遇按公司标准执行。正式录用后，薪酬参照公司人事薪酬制度执行，按相关政策购买“五险一金”。</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5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造价员</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1.全日制大专以上学历，工程造价或预算类相关专业。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2.掌握工程造价管理和成本控制流程，熟练使用水利工程预算软件、工程CAD等日常办公软件；熟悉工程定额的运用；熟悉建材市场价格查询。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3.能完成工程项目各阶段相应进度款报表的编制与对下进度付款的审核。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4.具有3年以上工程造价（预算）专业工作经验或3年以上水利水电类工程施工外加1年以上工程造价（预算）专业工作经验。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5.具有造价员资格，具备水利二级建造师资格者优先。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6.年龄26周岁以上，40周岁以下，特别优秀者可适当放宽条件。</w:t>
            </w:r>
          </w:p>
        </w:tc>
        <w:tc>
          <w:tcPr>
            <w:tcW w:w="3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试用期3个月，试用期待遇按公司标准执行。正式录用后，薪酬参照公司人事薪酬制度执行，按相关政策购买“五险一金”。</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bl>
    <w:p>
      <w:bookmarkStart w:id="0" w:name="_GoBack"/>
      <w:bookmarkEnd w:id="0"/>
    </w:p>
    <w:sectPr>
      <w:pgSz w:w="16838" w:h="11906" w:orient="landscape"/>
      <w:pgMar w:top="1134"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6B26"/>
    <w:rsid w:val="675B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2019-05-15T07:06:00Z</dcterms:created>
  <dc:creator>木头人1413725565</dc:creator>
  <cp:lastModifiedBy>木头人1413725565</cp:lastModifiedBy>
  <dcterms:modified xsi:type="dcterms:W3CDTF">2019-05-15T07:09:16Z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