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20" w:lineRule="exact"/>
        <w:ind w:firstLine="0" w:firstLineChars="0"/>
        <w:outlineLvl w:val="0"/>
        <w:rPr>
          <w:rFonts w:ascii="方正仿宋_GBK" w:hAnsi="黑体" w:eastAsia="方正仿宋_GBK"/>
          <w:snapToGrid w:val="0"/>
          <w:sz w:val="32"/>
        </w:rPr>
      </w:pPr>
      <w:bookmarkStart w:id="3" w:name="_GoBack"/>
      <w:bookmarkEnd w:id="3"/>
      <w:r>
        <w:rPr>
          <w:rFonts w:hint="eastAsia" w:ascii="方正仿宋_GBK" w:hAnsi="黑体" w:eastAsia="方正仿宋_GBK"/>
          <w:snapToGrid w:val="0"/>
          <w:sz w:val="32"/>
        </w:rPr>
        <w:t>附件3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bookmarkStart w:id="0" w:name="_Toc493087559"/>
      <w:r>
        <w:rPr>
          <w:rFonts w:hint="eastAsia" w:ascii="Times New Roman" w:hAnsi="Times New Roman" w:eastAsia="黑体"/>
          <w:sz w:val="32"/>
          <w:szCs w:val="32"/>
        </w:rPr>
        <w:t>供电服务公司电工专业招聘考试大纲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一、公共与行业知识（2</w:t>
      </w:r>
      <w:r>
        <w:rPr>
          <w:rFonts w:hint="eastAsia" w:ascii="黑体" w:hAnsi="黑体" w:eastAsia="黑体"/>
          <w:sz w:val="28"/>
          <w:szCs w:val="28"/>
        </w:rPr>
        <w:t>0</w:t>
      </w:r>
      <w:r>
        <w:rPr>
          <w:rFonts w:ascii="黑体" w:hAnsi="黑体" w:eastAsia="黑体"/>
          <w:sz w:val="28"/>
          <w:szCs w:val="28"/>
        </w:rPr>
        <w:t>%）</w:t>
      </w:r>
      <w:bookmarkEnd w:id="0"/>
    </w:p>
    <w:tbl>
      <w:tblPr>
        <w:tblStyle w:val="2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一般能力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形势与政策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中国共产党和中国政府在现阶段的重大方针政策，201</w:t>
            </w:r>
            <w:r>
              <w:rPr>
                <w:rFonts w:hint="eastAsia" w:ascii="Times New Roman" w:hAnsi="Times New Roman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年1月至今国际、国内的重大时事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bookmarkStart w:id="1" w:name="_Toc493086255"/>
      <w:bookmarkStart w:id="2" w:name="_Toc493087560"/>
      <w:r>
        <w:rPr>
          <w:rFonts w:ascii="黑体" w:hAnsi="黑体" w:eastAsia="黑体"/>
          <w:sz w:val="28"/>
          <w:szCs w:val="28"/>
        </w:rPr>
        <w:t>二、专业知识（</w:t>
      </w:r>
      <w:r>
        <w:rPr>
          <w:rFonts w:hint="eastAsia" w:ascii="黑体" w:hAnsi="黑体" w:eastAsia="黑体"/>
          <w:sz w:val="28"/>
          <w:szCs w:val="28"/>
        </w:rPr>
        <w:t>80</w:t>
      </w:r>
      <w:r>
        <w:rPr>
          <w:rFonts w:ascii="黑体" w:hAnsi="黑体" w:eastAsia="黑体"/>
          <w:sz w:val="28"/>
          <w:szCs w:val="28"/>
        </w:rPr>
        <w:t>%）</w:t>
      </w:r>
      <w:bookmarkEnd w:id="1"/>
      <w:bookmarkEnd w:id="2"/>
    </w:p>
    <w:tbl>
      <w:tblPr>
        <w:tblStyle w:val="2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主要课程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电工技术基础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</w:t>
            </w:r>
          </w:p>
        </w:tc>
        <w:tc>
          <w:tcPr>
            <w:tcW w:w="6379" w:type="dxa"/>
            <w:tcBorders>
              <w:top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电路的基本概念与基本定律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线性电阻电路的分析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叠加原理、戴维宁和诺顿定理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动态电路的基本概念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正弦稳态电路的分析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耦合电感电路和谐振电路的基本概念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三相电路的基本概念和计算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交/直流基本电参数的测量方法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变压器的结构与工作原理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异步电动机和直流电动机的结构及原理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电力系统分析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电力系统各元件特性及数学模型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简单电力系统潮流分析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电力系统有功功率和频率调整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电力系统无功功率和电压调整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电力系统故障的基本概念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电力系统简单故障分析与计算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电力系统稳定的基本概念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继电保护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电力系统继电保护的基本概念和要求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阶段式电流保护配合原理和构成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距离保护的工作原理和动作特性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输电线路纵联电流差动保护原理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输电线路自动重合闸的作用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变压器、母线的主要故障类型和保护配置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电气设备及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主系统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电气设备的类型及原理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电气主接线的形式、特点及倒闸操作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电气设备及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主系统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限制短路电流的方法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电气设备的选择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29</w:t>
            </w:r>
          </w:p>
        </w:tc>
        <w:tc>
          <w:tcPr>
            <w:tcW w:w="63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配电装置的类型及特点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变压器的运行分析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高电压技术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电介质的基本电气特性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输变电设备外绝缘的类型及特点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电气设备绝缘特性的测试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电力系统过电压的基本概念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线路和变电站的防雷保护措施</w:t>
            </w:r>
          </w:p>
        </w:tc>
      </w:tr>
    </w:tbl>
    <w:p>
      <w:pPr>
        <w:spacing w:line="520" w:lineRule="exact"/>
        <w:rPr>
          <w:rFonts w:ascii="Times New Roman" w:hAnsi="Times New Roman"/>
          <w:b/>
          <w:szCs w:val="21"/>
        </w:rPr>
      </w:pPr>
    </w:p>
    <w:p>
      <w:pPr>
        <w:widowControl/>
        <w:spacing w:line="520" w:lineRule="exact"/>
        <w:jc w:val="center"/>
        <w:rPr>
          <w:rFonts w:ascii="方正仿宋_GBK" w:hAnsi="宋体" w:eastAsia="方正仿宋_GBK"/>
          <w:b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供电服务公司电子信息类专业招聘考试大纲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一、公共与行业知识（2</w:t>
      </w:r>
      <w:r>
        <w:rPr>
          <w:rFonts w:hint="eastAsia" w:ascii="黑体" w:hAnsi="黑体" w:eastAsia="黑体"/>
          <w:sz w:val="28"/>
          <w:szCs w:val="28"/>
        </w:rPr>
        <w:t>0</w:t>
      </w:r>
      <w:r>
        <w:rPr>
          <w:rFonts w:ascii="黑体" w:hAnsi="黑体" w:eastAsia="黑体"/>
          <w:sz w:val="28"/>
          <w:szCs w:val="28"/>
        </w:rPr>
        <w:t>%）</w:t>
      </w:r>
    </w:p>
    <w:tbl>
      <w:tblPr>
        <w:tblStyle w:val="2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851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一般能力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形势与政策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中国共产党和中国政府在现阶段的重大方针政策，201</w:t>
            </w:r>
            <w:r>
              <w:rPr>
                <w:rFonts w:hint="eastAsia" w:ascii="Times New Roman" w:hAnsi="Times New Roman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年1月至今国际、国内的重大时事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专业</w:t>
      </w:r>
      <w:r>
        <w:rPr>
          <w:rFonts w:ascii="黑体" w:hAnsi="黑体" w:eastAsia="黑体"/>
          <w:sz w:val="28"/>
          <w:szCs w:val="28"/>
        </w:rPr>
        <w:t>知识（</w:t>
      </w:r>
      <w:r>
        <w:rPr>
          <w:rFonts w:hint="eastAsia" w:ascii="黑体" w:hAnsi="黑体" w:eastAsia="黑体"/>
          <w:sz w:val="28"/>
          <w:szCs w:val="28"/>
        </w:rPr>
        <w:t>80</w:t>
      </w:r>
      <w:r>
        <w:rPr>
          <w:rFonts w:ascii="黑体" w:hAnsi="黑体" w:eastAsia="黑体"/>
          <w:sz w:val="28"/>
          <w:szCs w:val="28"/>
        </w:rPr>
        <w:t>%）</w:t>
      </w:r>
    </w:p>
    <w:p>
      <w:pPr>
        <w:spacing w:line="52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（一）计算机专业知识</w:t>
      </w:r>
      <w:r>
        <w:rPr>
          <w:rFonts w:ascii="Times New Roman" w:hAnsi="Times New Roman" w:eastAsia="黑体"/>
          <w:kern w:val="0"/>
          <w:sz w:val="28"/>
          <w:szCs w:val="28"/>
        </w:rPr>
        <w:t>（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55</w:t>
      </w:r>
      <w:r>
        <w:rPr>
          <w:rFonts w:ascii="Times New Roman" w:hAnsi="Times New Roman" w:eastAsia="黑体"/>
          <w:kern w:val="0"/>
          <w:sz w:val="28"/>
          <w:szCs w:val="28"/>
        </w:rPr>
        <w:t>%）</w:t>
      </w:r>
    </w:p>
    <w:tbl>
      <w:tblPr>
        <w:tblStyle w:val="2"/>
        <w:tblW w:w="8784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55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主要课程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79" w:type="dxa"/>
            <w:vAlign w:val="bottom"/>
          </w:tcPr>
          <w:p>
            <w:pPr>
              <w:widowControl/>
              <w:spacing w:line="520" w:lineRule="exact"/>
              <w:ind w:left="2500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数据结构</w:t>
            </w:r>
          </w:p>
          <w:p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与算法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线性表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栈和队列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数组和广义表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firstLine="105" w:firstLineChars="5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树和二叉树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firstLine="105" w:firstLineChars="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动态存储管理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查找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内部排序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外部排序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/>
                <w:szCs w:val="21"/>
              </w:rPr>
              <w:t>数据库系统</w:t>
            </w:r>
          </w:p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数据模型与数据库系统结构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关系数据库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关系数据库标准语言 SQL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szCs w:val="21"/>
              </w:rPr>
            </w:pPr>
            <w:r>
              <w:rPr>
                <w:szCs w:val="21"/>
              </w:rPr>
              <w:t>数据库安全性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szCs w:val="21"/>
              </w:rPr>
            </w:pPr>
            <w:r>
              <w:rPr>
                <w:szCs w:val="21"/>
              </w:rPr>
              <w:t>数据库完整性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关系数据理论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数据库设计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关系查询处理和查询优化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数据库恢复技术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并发控制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分布式数据库系统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对象关系数据库系统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XML 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计算机网络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基本概念（计算机网络的定义、类别、体系结构等）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物理层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数据链路层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网络层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计算机网络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传输层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应用层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网络安全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无线网络和移动网络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操作系统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基本概念（操作系统的发展过程、基本特性、主要功能、OS设计等）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进程管理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处理机调度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存储器管理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设备管理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文件管理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计算机组成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原理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基本概念（计算机组成、性能指标、工作过程等）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数据的机器层次表示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指令系统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数值的机器运算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存储系统和结构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中央处理器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总线系统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外部设备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输入输出系统</w:t>
            </w:r>
          </w:p>
        </w:tc>
      </w:tr>
    </w:tbl>
    <w:p>
      <w:pPr>
        <w:spacing w:line="520" w:lineRule="exact"/>
        <w:rPr>
          <w:b/>
          <w:sz w:val="28"/>
          <w:szCs w:val="28"/>
        </w:rPr>
      </w:pPr>
    </w:p>
    <w:p>
      <w:pPr>
        <w:spacing w:line="52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（二）通信专业知识</w:t>
      </w:r>
      <w:r>
        <w:rPr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25</w:t>
      </w:r>
      <w:r>
        <w:rPr>
          <w:b/>
          <w:sz w:val="28"/>
          <w:szCs w:val="28"/>
        </w:rPr>
        <w:t>%）</w:t>
      </w:r>
    </w:p>
    <w:tbl>
      <w:tblPr>
        <w:tblStyle w:val="2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主要课程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通信原理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模拟调制系统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模拟信号的脉冲编码调制技术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数字基带传输系统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数字频带传输系统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差错控制编码技术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通信系统同步技术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数据通信网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计算机网络体系架构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数据链路层技术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网络层技术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</w:t>
            </w:r>
            <w:r>
              <w:rPr>
                <w:rFonts w:hint="eastAsia" w:ascii="Times New Roman" w:hAnsi="Times New Roman"/>
                <w:bCs/>
                <w:szCs w:val="21"/>
              </w:rPr>
              <w:t>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MPLS VPN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</w:t>
            </w:r>
            <w:r>
              <w:rPr>
                <w:rFonts w:hint="eastAsia" w:ascii="Times New Roman" w:hAnsi="Times New Roman"/>
                <w:bCs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传输层技术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</w:t>
            </w:r>
            <w:r>
              <w:rPr>
                <w:rFonts w:hint="eastAsia" w:ascii="Times New Roman" w:hAnsi="Times New Roman"/>
                <w:bCs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局域网和广域网技术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</w:t>
            </w:r>
            <w:r>
              <w:rPr>
                <w:rFonts w:hint="eastAsia" w:ascii="Times New Roman" w:hAnsi="Times New Roman"/>
                <w:bCs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计算机网络管理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/>
                <w:w w:val="99"/>
                <w:szCs w:val="21"/>
              </w:rPr>
              <w:t>光纤传输技术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数字传输技术基础知识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光纤光缆的结构和特性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光器件和光仪器仪表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PDH、SDH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WDM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OTN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/>
                <w:w w:val="99"/>
                <w:szCs w:val="21"/>
              </w:rPr>
              <w:t>无线通信技术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电波传播理论基础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无线多址技术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均衡分集和信道编码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微波通信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0E"/>
    <w:rsid w:val="00127B68"/>
    <w:rsid w:val="004E6D65"/>
    <w:rsid w:val="008670F0"/>
    <w:rsid w:val="00EB550E"/>
    <w:rsid w:val="00EE4670"/>
    <w:rsid w:val="7145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正文文本缩进 Char"/>
    <w:link w:val="5"/>
    <w:uiPriority w:val="0"/>
    <w:rPr>
      <w:rFonts w:eastAsia="楷体_GB2312"/>
      <w:sz w:val="28"/>
    </w:rPr>
  </w:style>
  <w:style w:type="paragraph" w:customStyle="1" w:styleId="5">
    <w:name w:val="正文文本缩进1"/>
    <w:basedOn w:val="1"/>
    <w:link w:val="4"/>
    <w:uiPriority w:val="0"/>
    <w:pPr>
      <w:ind w:firstLine="560" w:firstLineChars="200"/>
    </w:pPr>
    <w:rPr>
      <w:rFonts w:eastAsia="楷体_GB2312" w:asciiTheme="minorHAnsi" w:hAnsiTheme="minorHAnsi" w:cstheme="minorBidi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338</Words>
  <Characters>1930</Characters>
  <Lines>16</Lines>
  <Paragraphs>4</Paragraphs>
  <TotalTime>0</TotalTime>
  <ScaleCrop>false</ScaleCrop>
  <LinksUpToDate>false</LinksUpToDate>
  <CharactersWithSpaces>2264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2019-05-05T06:57:00Z</dcterms:created>
  <dc:creator>caroler_mail@163.com</dc:creator>
  <cp:lastModifiedBy>很复古的三十二 .</cp:lastModifiedBy>
  <dcterms:modified xsi:type="dcterms:W3CDTF">2019-05-06T01:39:02Z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