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sz w:val="32"/>
          <w:szCs w:val="32"/>
          <w:bdr w:val="none" w:color="auto" w:sz="0" w:space="0"/>
          <w:shd w:val="clear" w:fill="FFFFFF"/>
        </w:rPr>
        <w:t>测评标准如下表：</w:t>
      </w:r>
    </w:p>
    <w:tbl>
      <w:tblPr>
        <w:tblW w:w="8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2337"/>
        <w:gridCol w:w="2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34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  项目</w:t>
            </w:r>
          </w:p>
        </w:tc>
        <w:tc>
          <w:tcPr>
            <w:tcW w:w="46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7"/>
                <w:szCs w:val="17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  男子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女子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  纵跳摸高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≥265厘米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≥230厘米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10米×4往返跑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≤13″4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1000米跑（女800米跑）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≤4′35″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both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46464"/>
                <w:spacing w:val="0"/>
                <w:sz w:val="32"/>
                <w:szCs w:val="32"/>
                <w:bdr w:val="none" w:color="auto" w:sz="0" w:space="0"/>
              </w:rPr>
              <w:t>≤4′30″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6529C"/>
    <w:rsid w:val="0B165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2019-04-03T07:41:00Z</dcterms:created>
  <dc:creator>ASUS</dc:creator>
  <cp:lastModifiedBy>ASUS</cp:lastModifiedBy>
  <dcterms:modified xsi:type="dcterms:W3CDTF">2019-04-03T07:41:29Z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