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“西充英才工程”人才认定标准及部分支持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政策简介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“西充英才工程”将高层次人才分为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“高端人才”“金融人才”“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经营管理人才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”“教科文卫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”“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实用技术人才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”5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类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以5年为一个管理周期，符合认定标准的享受相关支持政策。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（一）高端人才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A类（国际顶尖人才）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诺贝尔奖（The Nobel Prize ）、图灵奖（A·M·Turing Award）或菲尔兹奖（Fields Medal ）等国际大奖获得者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国家最高科学技术奖获得者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中国科学院院士、中国工程院院士，发达国家相同层次的院士，中国社会科学院学部委员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国家“万人计划”杰出人才入选者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相当于上述层次的顶尖人才。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B类（国家级领军人才）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国家“万人计划”中除杰出人才之外的入选者，国家“千人计划”入选者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国家自然科学奖、国家技术发明奖、国家科学技术进步奖一等奖及以上获得者或项目主要完成人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中国青年科技奖获得者，国家有突出贡献的中青年专家，国务院批准的享受政府特殊津贴的专家，“长江学者奖励计划”教授，国家杰出青年基金项目获得者，百千万人才工程国家级入选者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相当于上述层次的领军人才。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C类（省级专家人才）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省青年科技奖获得者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四川省“千人计划”和“天府万人计划”入选者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国家自然科学奖、国家技术发明奖、国家科学技术进步奖二等奖获得者或项目主要完成人，省科学技术杰出贡献奖、四川杰出人才奖获得者，省自然科学奖、社会科学优秀成果奖、技术发明奖、科学技术进步奖一等奖及以上获得者或项目主要完成人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四川省科技创新创业领军人才，四川省有突出贡献优秀专家，四川省学术与技术带头人，省级技能大师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相当于上述层次的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专家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D类（市级高级人才）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正高级专业技术职称专家及相当层次人才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取得全日制博士研究生学历学位的人才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市级学术技术带头人、市“首席技师”、市级“大师工作室”负责人；市级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相关人才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表彰奖励获得者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相当于上述层次的高级人才。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E类（县级拔尖人才）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具有副高级专业技术职称的人才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取得全日制硕士研究生学历学位的人才。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eastAsia="zh-CN"/>
        </w:rPr>
        <w:t>（二）金融人才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具有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3年及以上金融领域从业经验的高层次专业人才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曾在知名金融机构任中层以上干部；担任市级以上重大金融政策规划主要起草人；主持市级以上重点金融工程、重大金融项目的研究和建设工作。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（三）经营管理人才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企业引进的具有相应职业资格，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并且从事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本行业3年及以上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担任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200人以上或年营业额1亿元以上企业的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总监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副总经理及以上职务的高层次管理人才。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（四）科教文卫人才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本人主持或带头开展的研学成果获得市级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等奖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省级三等奖及以上荣誉；教育工作者需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在本行业从事相关工作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10年以上，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获得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省教育厅及以上主管部门颁发的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优秀教师、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骨干教师、师德标兵等荣誉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；医务工作者需在三级医院担任中层及以上职务三年以上。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（五）实用技术人才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在现代农业、新型工业等领域技术拔尖、技艺精湛，有重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大技术发明或重大技术革新成果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创造出同行业公认的先进操作法，劳动生产率明显提高，取得显著经济效益或社会效益；具有一定绝技绝活，带徒传技方面经验丰富，并在积极挖掘和传承传统工艺上作出较大贡献，在省市具有较高的声誉；在技术引进、改造和攻关中，掌握关键技术、解决重大技术难题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在乡村旅游、城乡建设方面理念先进、经验丰富，有主管某地成功开发案例的相关负责人。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二、支持政策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eastAsia="zh-CN"/>
        </w:rPr>
        <w:t>（一）个人工作生活保障政策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高端人才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A类人才：每年在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西充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工作6个月以上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（“两院”院士在西充工作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3个月以上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，周期内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；由用人单位帮助建立相应的实验室或研究所；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一次性解决住房安家补贴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20万元。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每年在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西充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时间不足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6个月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，周期内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B类人才：每年在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西充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9个月以上，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；由用人单位帮助建立相应的实验室或研究所；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一次性解决住房安家补贴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15万元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每年在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西充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时间不足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个月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，周期内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C类人才：每年在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西充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9个月以上，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；由用人单位帮助建立相应的实验室或研究所；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一次性解决住房安家补贴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10万元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每年在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西充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时间不足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个月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，周期内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D类人才：周期内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一次性解决住房安家补贴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5万元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（5）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E类人才：周期内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一次性解决住房安家补贴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2万元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金融人才：周期内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万元；对于取得最高级资格认证及会员资格的人才，一次性给予2万元补贴。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经营管理人才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：周期内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万元；对于取得行业公认的高级职业资格证书的人才，一次性给予2万元补贴。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科教文卫人才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：周期内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万元；对于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获得省级以上表彰或科研成果在国家级学术期刊上发表的人才，一次性给予2万元的奖励。获得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国家级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表彰或科研成果在国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际顶级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学术期刊上发表的人才，一次性给予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实用技术人才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：周期内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补助工作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津贴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万元；</w:t>
      </w:r>
      <w:r>
        <w:rPr>
          <w:rFonts w:hint="default" w:ascii="Times New Roman" w:hAnsi="Times New Roman" w:eastAsia="方正仿宋简体" w:cs="Times New Roman"/>
          <w:b/>
          <w:spacing w:val="-2"/>
          <w:sz w:val="32"/>
          <w:szCs w:val="32"/>
        </w:rPr>
        <w:t>对于技能技术获得国家专利的人才一次性给予2万元补贴。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二</w:t>
      </w: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）培训交流政策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培养交流。定期组织开展高层次人才学习培训、递进培养，定期举办“西充英才工程”相关国情、省情、市情、县情考察研修班。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学费资助。从 201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年起，新引进来西充工作且服务企事业单位年限满8年的全日制博士研究生、硕士研究生，每人分别一次性给予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万元、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 xml:space="preserve"> 万元学费资助。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三</w:t>
      </w: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）人才年金政策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从 2019年起，对新引进的社保关系在西充的 A －E 类高层次人才在企事业单位服务满8 年且在西充退休的，按以下标准一次性发放人才年金：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A －B类人才：每年补贴 2万元，最高补贴 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C －D类人才：每年补贴 1万元，最高补贴 10万元；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E类人才：每年补贴 0.5万元，最高补贴 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四</w:t>
      </w: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eastAsia="zh-CN"/>
        </w:rPr>
        <w:t>）日常服务政策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配偶就业。引进的全日制博士研究生和具有正高级专业技术职称的人才，其配偶希望在我县就业的，属于财政供养人员的，由组织人事部门本着对口原则帮助协调安置工作，属于国有企业（含国有控股）的由国资部门协调安置工作，原则上在对口单位或专业相近单位进行安置。除上述情况以外的，用人单位和主管部门可通过市场化运作、政府购买服务等方式帮助就业，暂时无法就业且确有生活困难的，用人单位可给予适当生活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子女入学。本办法引进的高层次人才，子女需在西充入学的，经本人申请、单位核实、人才办审核、教育行政主管部门协调等程序，办理子女入学手续。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eastAsia="zh-CN"/>
        </w:rPr>
        <w:t>住房保障。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县本级公租房优先保障引进的高层次人才的住房需求，公租房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无法满足需求且无固定住房的，管理周期内可根据市场行情按每人每年不超过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120</w:t>
      </w: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㎡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的标准给予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租房补贴，所需经费在县人才工作专项资金中列支。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B6C97"/>
    <w:rsid w:val="07442CC7"/>
    <w:rsid w:val="18091CD1"/>
    <w:rsid w:val="20813CB2"/>
    <w:rsid w:val="21AB6C97"/>
    <w:rsid w:val="299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2019-04-04T09:09:00Z</dcterms:created>
  <dc:creator>缓缓归</dc:creator>
  <cp:lastModifiedBy>缓缓归</cp:lastModifiedBy>
  <cp:lastPrinted>2019-04-09T01:42:34Z</cp:lastPrinted>
  <dcterms:modified xsi:type="dcterms:W3CDTF">2019-04-09T01:43:19Z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