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人民政府外事办公室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公开引进全日制硕士研究生及以上学历高层次人才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1597" w:tblpY="125"/>
        <w:tblOverlap w:val="never"/>
        <w:tblW w:w="90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"/>
        <w:gridCol w:w="1011"/>
        <w:gridCol w:w="688"/>
        <w:gridCol w:w="716"/>
        <w:gridCol w:w="1010"/>
        <w:gridCol w:w="1532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801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0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0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exac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简历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经历</w:t>
            </w:r>
          </w:p>
        </w:tc>
        <w:tc>
          <w:tcPr>
            <w:tcW w:w="8015" w:type="dxa"/>
            <w:gridSpan w:val="8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3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A3054"/>
    <w:rsid w:val="171A3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2019-03-27T02:02:00Z</dcterms:created>
  <dc:creator>zc874135</dc:creator>
  <cp:lastModifiedBy>zc874135</cp:lastModifiedBy>
  <dcterms:modified xsi:type="dcterms:W3CDTF">2019-03-27T02:03:25Z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