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55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bookmarkStart w:id="0" w:name="_GoBack"/>
      <w:bookmarkEnd w:id="0"/>
      <w:r>
        <w:rPr>
          <w:rFonts w:ascii="仿宋" w:hAnsi="仿宋" w:eastAsia="仿宋" w:cs="仿宋"/>
          <w:i w:val="0"/>
          <w:caps w:val="0"/>
          <w:color w:val="444444"/>
          <w:spacing w:val="0"/>
          <w:sz w:val="21"/>
          <w:szCs w:val="21"/>
          <w:shd w:val="clear" w:fill="FFFFFF"/>
        </w:rPr>
        <w:t>博士待遇：</w:t>
      </w:r>
    </w:p>
    <w:tbl>
      <w:tblPr>
        <w:tblStyle w:val="3"/>
        <w:tblW w:w="75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952"/>
        <w:gridCol w:w="1177"/>
        <w:gridCol w:w="952"/>
        <w:gridCol w:w="952"/>
        <w:gridCol w:w="29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sz w:val="21"/>
                <w:szCs w:val="21"/>
              </w:rPr>
              <w:t>引进人才类型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sz w:val="21"/>
                <w:szCs w:val="21"/>
              </w:rPr>
              <w:t>科研启动金（万元）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sz w:val="21"/>
                <w:szCs w:val="21"/>
              </w:rPr>
              <w:t>安家费（万元）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sz w:val="21"/>
                <w:szCs w:val="21"/>
              </w:rPr>
              <w:t>购房补贴（万元）</w:t>
            </w:r>
          </w:p>
        </w:tc>
        <w:tc>
          <w:tcPr>
            <w:tcW w:w="2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444444"/>
                <w:spacing w:val="0"/>
                <w:sz w:val="21"/>
                <w:szCs w:val="21"/>
              </w:rPr>
              <w:t>相关待遇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</w:rPr>
              <w:t>博士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</w:rPr>
              <w:t>Ａ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</w:rPr>
              <w:t>30</w:t>
            </w:r>
          </w:p>
        </w:tc>
        <w:tc>
          <w:tcPr>
            <w:tcW w:w="29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</w:rPr>
              <w:t>按规定享受国家基本工资、医院绩效工资，博士津贴500元/月（发放3年），发放1年租房补贴1200元/月。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</w:rPr>
              <w:t>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</w:rPr>
              <w:t>25</w:t>
            </w: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</w:rPr>
              <w:t>Ｃ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1"/>
                <w:szCs w:val="21"/>
              </w:rPr>
              <w:t>20</w:t>
            </w:r>
          </w:p>
        </w:tc>
        <w:tc>
          <w:tcPr>
            <w:tcW w:w="29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21"/>
          <w:szCs w:val="21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21"/>
          <w:szCs w:val="21"/>
          <w:shd w:val="clear" w:fill="FFFFFF"/>
        </w:rPr>
        <w:t>A.在全球排名前300名的高校或学科专业排名全球前100名的具有博士学位人员（排名认定标准参照国际通用排名标准）。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21"/>
          <w:szCs w:val="21"/>
          <w:shd w:val="clear" w:fill="FFFFFF"/>
        </w:rPr>
        <w:t>B. “985”或“211”高校毕业的博士研究生，中医临床专业博士研究生（具有执业医师资格）、中医“四大经典”（金匮、伤寒、温病、内经方向）或西医内科学、西医外科学专业博士研究生。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21"/>
          <w:szCs w:val="21"/>
          <w:shd w:val="clear" w:fill="FFFFFF"/>
        </w:rPr>
        <w:t>C.临床工作及学科专业建设所需的其他具有博士学位人员。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67D45"/>
    <w:rsid w:val="077A02FA"/>
    <w:rsid w:val="10F67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2019-03-25T09:28:00Z</dcterms:created>
  <dc:creator>ASUS</dc:creator>
  <cp:lastModifiedBy>xuran</cp:lastModifiedBy>
  <dcterms:modified xsi:type="dcterms:W3CDTF">2019-03-26T05:07:08Z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