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2" w:type="dxa"/>
        <w:jc w:val="center"/>
        <w:tblInd w:w="1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792"/>
        <w:gridCol w:w="2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2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部门职责</w:t>
            </w:r>
          </w:p>
        </w:tc>
        <w:tc>
          <w:tcPr>
            <w:tcW w:w="2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岗位特殊要求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（专业知识、业务技能等要求）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机关服务中心综合服务部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1.承担机关工作人员医疗保健和公费医疗管理工作；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2.承担机关部分出版物的销售工作；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3.承担机关科学基金项目评审费的代收、代发工作；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4.承担机关收发和文印工作；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5.负责承办委及机关各部门会议的会务工作；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6.负责机关各项重大活动后勤服务的筹备工作；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7.完成中心领导交办的其他工作。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5" w:hRule="atLeast"/>
          <w:jc w:val="center"/>
        </w:trPr>
        <w:tc>
          <w:tcPr>
            <w:tcW w:w="2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2. 科学基金杂志社（科学传播中心（筹））新媒体发展部</w:t>
            </w:r>
          </w:p>
        </w:tc>
        <w:tc>
          <w:tcPr>
            <w:tcW w:w="5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1.承担国家自然科学基金委员会网站及新媒体内容的采集、编辑、维护等工作；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2.承担科学传播音视频载体的策划、制作等任务；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3.承担国家自然科学基金委员会舆情收集及信息报送工作；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4.承担中心领导交办的其他工作。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spacing w:val="-6"/>
                <w:kern w:val="0"/>
                <w:sz w:val="24"/>
                <w:szCs w:val="24"/>
                <w:lang w:val="en-US" w:eastAsia="zh-CN" w:bidi="ar"/>
              </w:rPr>
              <w:t>具有计算机软件与应用等相关专业硕士及以上学历学位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D66F0"/>
    <w:rsid w:val="763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2019-03-20T09:04:00Z</dcterms:created>
  <dc:creator>Administrator</dc:creator>
  <cp:lastModifiedBy>Administrator</cp:lastModifiedBy>
  <dcterms:modified xsi:type="dcterms:W3CDTF">2019-03-20T09:06:23Z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