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left"/>
        <w:rPr>
          <w:rFonts w:hint="eastAsia" w:ascii="黑体" w:eastAsia="黑体" w:cs="宋体"/>
          <w:spacing w:val="-6"/>
          <w:sz w:val="28"/>
          <w:szCs w:val="28"/>
        </w:rPr>
      </w:pPr>
      <w:bookmarkStart w:id="0" w:name="_GoBack"/>
      <w:bookmarkEnd w:id="0"/>
      <w:r>
        <w:rPr>
          <w:rFonts w:hint="eastAsia" w:ascii="仿宋_GB2312" w:cs="宋体"/>
          <w:b/>
          <w:bCs/>
          <w:color w:val="000000"/>
          <w:szCs w:val="32"/>
        </w:rPr>
        <w:t>附件1：</w:t>
      </w:r>
    </w:p>
    <w:p>
      <w:pPr>
        <w:spacing w:line="300" w:lineRule="exact"/>
        <w:jc w:val="center"/>
        <w:rPr>
          <w:rFonts w:hint="eastAsia" w:ascii="黑体" w:eastAsia="黑体" w:cs="宋体"/>
          <w:spacing w:val="-6"/>
          <w:sz w:val="28"/>
          <w:szCs w:val="28"/>
        </w:rPr>
      </w:pPr>
      <w:r>
        <w:rPr>
          <w:rFonts w:hint="eastAsia" w:ascii="黑体" w:eastAsia="黑体" w:cs="宋体"/>
          <w:spacing w:val="-6"/>
          <w:sz w:val="28"/>
          <w:szCs w:val="28"/>
        </w:rPr>
        <w:t>四川省农业科学院直属事业单位2019年4月公开招聘工作人员岗位和条件要求一览表</w:t>
      </w:r>
    </w:p>
    <w:p>
      <w:pPr>
        <w:spacing w:line="300" w:lineRule="exact"/>
        <w:jc w:val="center"/>
        <w:rPr>
          <w:rFonts w:hint="eastAsia" w:ascii="黑体" w:eastAsia="黑体" w:cs="宋体"/>
          <w:sz w:val="28"/>
          <w:szCs w:val="28"/>
          <w:shd w:val="pct10" w:color="auto" w:fill="FFFFFF"/>
        </w:rPr>
      </w:pPr>
    </w:p>
    <w:tbl>
      <w:tblPr>
        <w:tblStyle w:val="5"/>
        <w:tblW w:w="14173" w:type="dxa"/>
        <w:jc w:val="center"/>
        <w:tblInd w:w="0" w:type="dxa"/>
        <w:tblLayout w:type="fixed"/>
        <w:tblCellMar>
          <w:top w:w="0" w:type="dxa"/>
          <w:left w:w="108" w:type="dxa"/>
          <w:bottom w:w="0" w:type="dxa"/>
          <w:right w:w="108" w:type="dxa"/>
        </w:tblCellMar>
      </w:tblPr>
      <w:tblGrid>
        <w:gridCol w:w="716"/>
        <w:gridCol w:w="790"/>
        <w:gridCol w:w="903"/>
        <w:gridCol w:w="1144"/>
        <w:gridCol w:w="544"/>
        <w:gridCol w:w="693"/>
        <w:gridCol w:w="1151"/>
        <w:gridCol w:w="1122"/>
        <w:gridCol w:w="2533"/>
        <w:gridCol w:w="1181"/>
        <w:gridCol w:w="676"/>
        <w:gridCol w:w="676"/>
        <w:gridCol w:w="719"/>
        <w:gridCol w:w="1325"/>
      </w:tblGrid>
      <w:tr>
        <w:tblPrEx>
          <w:tblLayout w:type="fixed"/>
          <w:tblCellMar>
            <w:top w:w="0" w:type="dxa"/>
            <w:left w:w="108" w:type="dxa"/>
            <w:bottom w:w="0" w:type="dxa"/>
            <w:right w:w="108" w:type="dxa"/>
          </w:tblCellMar>
        </w:tblPrEx>
        <w:trPr>
          <w:cantSplit/>
          <w:trHeight w:val="564" w:hRule="exact"/>
          <w:jc w:val="center"/>
        </w:trPr>
        <w:tc>
          <w:tcPr>
            <w:tcW w:w="716"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招聘单位</w:t>
            </w:r>
          </w:p>
        </w:tc>
        <w:tc>
          <w:tcPr>
            <w:tcW w:w="169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招聘岗位</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岗位</w:t>
            </w:r>
          </w:p>
          <w:p>
            <w:pPr>
              <w:spacing w:line="300" w:lineRule="exact"/>
              <w:jc w:val="center"/>
              <w:rPr>
                <w:rFonts w:hint="eastAsia" w:ascii="仿宋_GB2312" w:hAnsi="仿宋_GB2312" w:cs="宋体"/>
                <w:szCs w:val="21"/>
              </w:rPr>
            </w:pPr>
            <w:r>
              <w:rPr>
                <w:rFonts w:hint="eastAsia" w:ascii="仿宋_GB2312" w:hAnsi="仿宋_GB2312" w:cs="宋体"/>
                <w:szCs w:val="21"/>
              </w:rPr>
              <w:t>编码</w:t>
            </w:r>
          </w:p>
        </w:tc>
        <w:tc>
          <w:tcPr>
            <w:tcW w:w="54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招聘人数</w:t>
            </w:r>
          </w:p>
        </w:tc>
        <w:tc>
          <w:tcPr>
            <w:tcW w:w="693" w:type="dxa"/>
            <w:vMerge w:val="restart"/>
            <w:tcBorders>
              <w:top w:val="single" w:color="auto" w:sz="4" w:space="0"/>
              <w:left w:val="nil"/>
              <w:bottom w:val="nil"/>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招聘</w:t>
            </w:r>
          </w:p>
          <w:p>
            <w:pPr>
              <w:spacing w:line="300" w:lineRule="exact"/>
              <w:jc w:val="center"/>
              <w:rPr>
                <w:rFonts w:hint="eastAsia" w:ascii="仿宋_GB2312" w:hAnsi="仿宋_GB2312" w:cs="宋体"/>
                <w:szCs w:val="21"/>
              </w:rPr>
            </w:pPr>
            <w:r>
              <w:rPr>
                <w:rFonts w:hint="eastAsia" w:ascii="仿宋_GB2312" w:hAnsi="仿宋_GB2312" w:cs="宋体"/>
                <w:szCs w:val="21"/>
              </w:rPr>
              <w:t>对象</w:t>
            </w:r>
          </w:p>
          <w:p>
            <w:pPr>
              <w:spacing w:line="300" w:lineRule="exact"/>
              <w:jc w:val="center"/>
              <w:rPr>
                <w:rFonts w:hint="eastAsia" w:ascii="仿宋_GB2312" w:hAnsi="仿宋_GB2312" w:cs="宋体"/>
                <w:szCs w:val="21"/>
              </w:rPr>
            </w:pPr>
            <w:r>
              <w:rPr>
                <w:rFonts w:hint="eastAsia" w:ascii="仿宋_GB2312" w:hAnsi="仿宋_GB2312" w:cs="宋体"/>
                <w:szCs w:val="21"/>
              </w:rPr>
              <w:t>范围</w:t>
            </w:r>
          </w:p>
        </w:tc>
        <w:tc>
          <w:tcPr>
            <w:tcW w:w="5987" w:type="dxa"/>
            <w:gridSpan w:val="4"/>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291"/>
              <w:jc w:val="center"/>
              <w:rPr>
                <w:rFonts w:hint="eastAsia" w:ascii="仿宋_GB2312" w:hAnsi="仿宋_GB2312" w:cs="宋体"/>
                <w:szCs w:val="21"/>
              </w:rPr>
            </w:pPr>
            <w:r>
              <w:rPr>
                <w:rFonts w:hint="eastAsia" w:ascii="仿宋_GB2312" w:hAnsi="仿宋_GB2312" w:cs="宋体"/>
                <w:szCs w:val="21"/>
              </w:rPr>
              <w:t>其他条件要求</w:t>
            </w:r>
          </w:p>
        </w:tc>
        <w:tc>
          <w:tcPr>
            <w:tcW w:w="6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笔试</w:t>
            </w:r>
          </w:p>
          <w:p>
            <w:pPr>
              <w:spacing w:line="300" w:lineRule="exact"/>
              <w:jc w:val="center"/>
              <w:rPr>
                <w:rFonts w:hint="eastAsia" w:ascii="仿宋_GB2312" w:hAnsi="仿宋_GB2312" w:cs="宋体"/>
                <w:szCs w:val="21"/>
              </w:rPr>
            </w:pPr>
            <w:r>
              <w:rPr>
                <w:rFonts w:hint="eastAsia" w:ascii="仿宋_GB2312" w:hAnsi="仿宋_GB2312" w:cs="宋体"/>
                <w:szCs w:val="21"/>
              </w:rPr>
              <w:t>开考比例</w:t>
            </w:r>
          </w:p>
        </w:tc>
        <w:tc>
          <w:tcPr>
            <w:tcW w:w="6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公共科目笔试名称</w:t>
            </w:r>
          </w:p>
        </w:tc>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专业笔试名称</w:t>
            </w:r>
          </w:p>
        </w:tc>
        <w:tc>
          <w:tcPr>
            <w:tcW w:w="13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备注</w:t>
            </w:r>
          </w:p>
        </w:tc>
      </w:tr>
      <w:tr>
        <w:tblPrEx>
          <w:tblLayout w:type="fixed"/>
          <w:tblCellMar>
            <w:top w:w="0" w:type="dxa"/>
            <w:left w:w="108" w:type="dxa"/>
            <w:bottom w:w="0" w:type="dxa"/>
            <w:right w:w="108" w:type="dxa"/>
          </w:tblCellMar>
        </w:tblPrEx>
        <w:trPr>
          <w:cantSplit/>
          <w:trHeight w:val="90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300" w:lineRule="exact"/>
              <w:jc w:val="center"/>
              <w:rPr>
                <w:rFonts w:hint="eastAsia" w:ascii="黑体" w:eastAsia="黑体" w:cs="宋体"/>
                <w:szCs w:val="21"/>
              </w:rPr>
            </w:pPr>
            <w:r>
              <w:rPr>
                <w:rFonts w:hint="eastAsia" w:ascii="仿宋_GB2312" w:hAnsi="仿宋_GB2312" w:cs="宋体"/>
                <w:szCs w:val="21"/>
              </w:rPr>
              <w:t>岗位  类别</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岗位</w:t>
            </w:r>
          </w:p>
          <w:p>
            <w:pPr>
              <w:spacing w:line="300" w:lineRule="exact"/>
              <w:jc w:val="center"/>
              <w:rPr>
                <w:rFonts w:hint="eastAsia" w:ascii="黑体" w:eastAsia="黑体" w:cs="宋体"/>
                <w:szCs w:val="21"/>
              </w:rPr>
            </w:pPr>
            <w:r>
              <w:rPr>
                <w:rFonts w:hint="eastAsia" w:ascii="仿宋_GB2312" w:hAnsi="仿宋_GB2312" w:cs="宋体"/>
                <w:szCs w:val="21"/>
              </w:rPr>
              <w:t>名称</w:t>
            </w: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szCs w:val="21"/>
              </w:rPr>
            </w:pPr>
          </w:p>
        </w:tc>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szCs w:val="21"/>
              </w:rPr>
            </w:pPr>
          </w:p>
        </w:tc>
        <w:tc>
          <w:tcPr>
            <w:tcW w:w="693" w:type="dxa"/>
            <w:vMerge w:val="continue"/>
            <w:tcBorders>
              <w:top w:val="nil"/>
              <w:left w:val="nil"/>
              <w:bottom w:val="single" w:color="auto" w:sz="4" w:space="0"/>
              <w:right w:val="single" w:color="auto" w:sz="4" w:space="0"/>
            </w:tcBorders>
            <w:noWrap w:val="0"/>
            <w:vAlign w:val="center"/>
          </w:tcPr>
          <w:p>
            <w:pPr>
              <w:spacing w:line="300" w:lineRule="exact"/>
              <w:rPr>
                <w:szCs w:val="21"/>
              </w:rPr>
            </w:pPr>
          </w:p>
        </w:tc>
        <w:tc>
          <w:tcPr>
            <w:tcW w:w="1151" w:type="dxa"/>
            <w:tcBorders>
              <w:top w:val="nil"/>
              <w:left w:val="nil"/>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年龄</w:t>
            </w:r>
          </w:p>
        </w:tc>
        <w:tc>
          <w:tcPr>
            <w:tcW w:w="1122" w:type="dxa"/>
            <w:tcBorders>
              <w:top w:val="nil"/>
              <w:left w:val="nil"/>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学历</w:t>
            </w:r>
          </w:p>
          <w:p>
            <w:pPr>
              <w:spacing w:line="300" w:lineRule="exact"/>
              <w:jc w:val="center"/>
              <w:rPr>
                <w:rFonts w:hint="eastAsia" w:ascii="仿宋_GB2312" w:hAnsi="仿宋_GB2312" w:cs="宋体"/>
                <w:szCs w:val="21"/>
              </w:rPr>
            </w:pPr>
            <w:r>
              <w:rPr>
                <w:rFonts w:hint="eastAsia" w:ascii="仿宋_GB2312" w:hAnsi="仿宋_GB2312" w:cs="宋体"/>
                <w:szCs w:val="21"/>
              </w:rPr>
              <w:t>或学位</w:t>
            </w:r>
          </w:p>
        </w:tc>
        <w:tc>
          <w:tcPr>
            <w:tcW w:w="2533"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专业条件要求</w:t>
            </w:r>
          </w:p>
        </w:tc>
        <w:tc>
          <w:tcPr>
            <w:tcW w:w="1181" w:type="dxa"/>
            <w:tcBorders>
              <w:top w:val="nil"/>
              <w:left w:val="nil"/>
              <w:bottom w:val="single" w:color="auto" w:sz="4" w:space="0"/>
              <w:right w:val="single" w:color="auto" w:sz="4" w:space="0"/>
            </w:tcBorders>
            <w:noWrap w:val="0"/>
            <w:vAlign w:val="center"/>
          </w:tcPr>
          <w:p>
            <w:pPr>
              <w:spacing w:line="300" w:lineRule="exact"/>
              <w:jc w:val="center"/>
              <w:rPr>
                <w:rFonts w:hint="eastAsia" w:ascii="仿宋_GB2312" w:hAnsi="仿宋_GB2312" w:cs="宋体"/>
                <w:szCs w:val="21"/>
              </w:rPr>
            </w:pPr>
            <w:r>
              <w:rPr>
                <w:rFonts w:hint="eastAsia" w:ascii="仿宋_GB2312" w:hAnsi="仿宋_GB2312" w:cs="宋体"/>
                <w:szCs w:val="21"/>
              </w:rPr>
              <w:t>其他</w:t>
            </w:r>
          </w:p>
        </w:tc>
        <w:tc>
          <w:tcPr>
            <w:tcW w:w="6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szCs w:val="21"/>
              </w:rPr>
            </w:pPr>
          </w:p>
        </w:tc>
        <w:tc>
          <w:tcPr>
            <w:tcW w:w="6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szCs w:val="21"/>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szCs w:val="21"/>
              </w:rPr>
            </w:pPr>
          </w:p>
        </w:tc>
        <w:tc>
          <w:tcPr>
            <w:tcW w:w="132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szCs w:val="21"/>
              </w:rPr>
            </w:pPr>
          </w:p>
        </w:tc>
      </w:tr>
      <w:tr>
        <w:tblPrEx>
          <w:tblLayout w:type="fixed"/>
          <w:tblCellMar>
            <w:top w:w="0" w:type="dxa"/>
            <w:left w:w="108" w:type="dxa"/>
            <w:bottom w:w="0" w:type="dxa"/>
            <w:right w:w="108" w:type="dxa"/>
          </w:tblCellMar>
        </w:tblPrEx>
        <w:trPr>
          <w:cantSplit/>
          <w:trHeight w:val="1411"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作物研究所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玉米育种科研岗位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42010001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作物遗传育种专业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411"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玉米品种资源科研岗位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42010002</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bCs/>
                <w:szCs w:val="21"/>
              </w:rPr>
              <w:t>作物遗传育种专业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科研服务岗位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42010003</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本科：农学专业或植物保护专业</w:t>
            </w:r>
          </w:p>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研究生：作物遗传育种专业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管理岗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文秘、宣传岗位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42010004</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本科：汉语言文学专业或汉语言专业或新闻学专业或行政管理专业</w:t>
            </w:r>
          </w:p>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研究生：新闻学专业或行政管理专业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128"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土壤肥料研究所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节水栽培科研岗位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42020005</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土壤学专业或作物栽培学与耕作学</w:t>
            </w:r>
            <w:r>
              <w:rPr>
                <w:rFonts w:hint="eastAsia" w:ascii="仿宋_GB2312" w:hAnsi="仿宋_GB2312" w:eastAsia="仿宋_GB2312" w:cs="仿宋_GB2312"/>
                <w:color w:val="000000"/>
                <w:szCs w:val="21"/>
              </w:rPr>
              <w:t>专业</w:t>
            </w:r>
            <w:r>
              <w:rPr>
                <w:rFonts w:hint="eastAsia" w:ascii="仿宋_GB2312" w:hAnsi="仿宋_GB2312" w:eastAsia="仿宋_GB2312" w:cs="仿宋_GB2312"/>
                <w:szCs w:val="21"/>
              </w:rPr>
              <w:t>或作物专业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需长期出差及野外驻点工作</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分析测试科研岗位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42020006</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本科:农业资源与环境专业</w:t>
            </w:r>
          </w:p>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研究生:土壤学专业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需长期出差及野外驻点工作</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财务 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42020007</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本科：会计（学）专业或财务管理专业</w:t>
            </w:r>
          </w:p>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128"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植物保护研究所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猕猴桃病害科研岗位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42030008</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微生物学专业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128"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田间生态科研岗位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42030009</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蔬菜学专业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财务  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42030010</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本科：会计（学）专业或财务管理专业</w:t>
            </w:r>
          </w:p>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128"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生物技术核技术研究所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辐照农产品保鲜科研岗位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42040011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农产品加工及贮藏工程专业或食品科学专业或微生物学专业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128"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肥料应用科研岗位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42040012</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作物栽培学与耕作学专业或植物营养学专业或植物病理学专业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需长期出差及野外工作</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财务 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42040013</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本科：会计（学）专业或财务管理专业</w:t>
            </w:r>
          </w:p>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411" w:hRule="exact"/>
          <w:jc w:val="center"/>
        </w:trPr>
        <w:tc>
          <w:tcPr>
            <w:tcW w:w="71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遥感应用研究所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农业经济理论与政策科研岗位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42050014</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农业经济管理专业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需到藏区、民族地区从事农村产改及清产核资等工作</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left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农业大数据统计分析科研岗位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42050015</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本科：统计学专业</w:t>
            </w:r>
          </w:p>
          <w:p>
            <w:pPr>
              <w:adjustRightInd w:val="0"/>
              <w:snapToGrid w:val="0"/>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研究生：统计学专业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需到藏区、民族地区从事农业大数据统计分析工作</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财务 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42050016</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本科：会计（学）专业或财务管理专业</w:t>
            </w:r>
          </w:p>
          <w:p>
            <w:pPr>
              <w:adjustRightInd w:val="0"/>
              <w:snapToGrid w:val="0"/>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需到藏区、民族地区从事农村产改及清产核资等工作</w:t>
            </w:r>
          </w:p>
        </w:tc>
      </w:tr>
      <w:tr>
        <w:tblPrEx>
          <w:tblLayout w:type="fixed"/>
          <w:tblCellMar>
            <w:top w:w="0" w:type="dxa"/>
            <w:left w:w="108" w:type="dxa"/>
            <w:bottom w:w="0" w:type="dxa"/>
            <w:right w:w="108" w:type="dxa"/>
          </w:tblCellMar>
        </w:tblPrEx>
        <w:trPr>
          <w:cantSplit/>
          <w:trHeight w:val="1128" w:hRule="exact"/>
          <w:jc w:val="center"/>
        </w:trPr>
        <w:tc>
          <w:tcPr>
            <w:tcW w:w="716" w:type="dxa"/>
            <w:vMerge w:val="restart"/>
            <w:tcBorders>
              <w:top w:val="single" w:color="auto" w:sz="4" w:space="0"/>
              <w:left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农业信息与农村经济研究所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区域经济科研岗位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42060017</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区域经济学专业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需长期出差及野外工作</w:t>
            </w:r>
          </w:p>
        </w:tc>
      </w:tr>
      <w:tr>
        <w:tblPrEx>
          <w:tblLayout w:type="fixed"/>
          <w:tblCellMar>
            <w:top w:w="0" w:type="dxa"/>
            <w:left w:w="108" w:type="dxa"/>
            <w:bottom w:w="0" w:type="dxa"/>
            <w:right w:w="108" w:type="dxa"/>
          </w:tblCellMar>
        </w:tblPrEx>
        <w:trPr>
          <w:cantSplit/>
          <w:trHeight w:val="1580" w:hRule="exact"/>
          <w:jc w:val="center"/>
        </w:trPr>
        <w:tc>
          <w:tcPr>
            <w:tcW w:w="716" w:type="dxa"/>
            <w:vMerge w:val="continue"/>
            <w:tcBorders>
              <w:left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农业媒传科研岗位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42060018</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本科：广播电视编导专业</w:t>
            </w:r>
          </w:p>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研究生：广播电视艺术学专业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需长期出差及野外工作</w:t>
            </w:r>
          </w:p>
        </w:tc>
      </w:tr>
      <w:tr>
        <w:tblPrEx>
          <w:tblLayout w:type="fixed"/>
          <w:tblCellMar>
            <w:top w:w="0" w:type="dxa"/>
            <w:left w:w="108" w:type="dxa"/>
            <w:bottom w:w="0" w:type="dxa"/>
            <w:right w:w="108" w:type="dxa"/>
          </w:tblCellMar>
        </w:tblPrEx>
        <w:trPr>
          <w:cantSplit/>
          <w:trHeight w:val="1580" w:hRule="exact"/>
          <w:jc w:val="center"/>
        </w:trPr>
        <w:tc>
          <w:tcPr>
            <w:tcW w:w="716" w:type="dxa"/>
            <w:vMerge w:val="continue"/>
            <w:tcBorders>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财务 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42060019</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本科：会计（学）专业或财务管理专业</w:t>
            </w:r>
          </w:p>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071"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分析测试中心</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检测技术科研岗位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42070020</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化学工艺专业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071"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农药试验科研岗位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42070021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环境科学专业</w:t>
            </w:r>
            <w:r>
              <w:rPr>
                <w:rFonts w:hint="eastAsia" w:ascii="仿宋_GB2312" w:hAnsi="仿宋_GB2312" w:eastAsia="仿宋_GB2312" w:cs="仿宋_GB2312"/>
                <w:color w:val="000000"/>
                <w:szCs w:val="21"/>
              </w:rPr>
              <w:t>或环境工程专业或环境</w:t>
            </w:r>
            <w:r>
              <w:rPr>
                <w:rFonts w:hint="eastAsia" w:ascii="仿宋_GB2312" w:hAnsi="仿宋_GB2312" w:eastAsia="仿宋_GB2312" w:cs="仿宋_GB2312"/>
                <w:szCs w:val="21"/>
              </w:rPr>
              <w:t>科学与工程专业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需长期出差及野外工作</w:t>
            </w:r>
          </w:p>
        </w:tc>
      </w:tr>
      <w:tr>
        <w:tblPrEx>
          <w:tblLayout w:type="fixed"/>
          <w:tblCellMar>
            <w:top w:w="0" w:type="dxa"/>
            <w:left w:w="108" w:type="dxa"/>
            <w:bottom w:w="0" w:type="dxa"/>
            <w:right w:w="108" w:type="dxa"/>
          </w:tblCellMar>
        </w:tblPrEx>
        <w:trPr>
          <w:cantSplit/>
          <w:trHeight w:val="1071"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土壤修复科研岗位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42070022</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生物物理学专业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071" w:hRule="exac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园艺研究所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科研服务岗位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42080023</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果树学</w:t>
            </w:r>
            <w:r>
              <w:rPr>
                <w:rFonts w:hint="eastAsia" w:ascii="仿宋_GB2312" w:hAnsi="仿宋_GB2312" w:eastAsia="仿宋_GB2312" w:cs="仿宋_GB2312"/>
                <w:color w:val="000000"/>
                <w:szCs w:val="21"/>
              </w:rPr>
              <w:t>专业或蔬菜学专业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580" w:hRule="exac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茶叶研究所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财务</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42090024</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本科：会计（学）专业或财务管理专业</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241"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农产品加工研究所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农产品保鲜与物流科研岗位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42100025</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农产品加工及贮藏工程专业或果树学专业或蔬菜学专业或园艺专业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241"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粮油加工技术科研岗位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42100026</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食品科学专业或粮食、油脂及植物蛋白工程专业或食品加工与安全专业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241"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果蔬采后生理科研岗位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42100027</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食品科学专业或植物学专业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692"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服务中心</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电气维护维修岗位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42110028</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本科：电气工程及其自动化专业</w:t>
            </w:r>
          </w:p>
          <w:p>
            <w:pPr>
              <w:widowControl/>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研究生：电力系统及其自动化专业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财务 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42110029</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本科：会计（学）专业或财务管理专业</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管理岗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文秘、宣传岗位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42110030</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本科：汉语言文学专业或汉语言专业或新闻学专业或行政管理专业</w:t>
            </w:r>
          </w:p>
          <w:p>
            <w:pPr>
              <w:widowControl/>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研究生：新闻学专业或行政管理专业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r>
      <w:tr>
        <w:tblPrEx>
          <w:tblLayout w:type="fixed"/>
          <w:tblCellMar>
            <w:top w:w="0" w:type="dxa"/>
            <w:left w:w="108" w:type="dxa"/>
            <w:bottom w:w="0" w:type="dxa"/>
            <w:right w:w="108" w:type="dxa"/>
          </w:tblCellMar>
        </w:tblPrEx>
        <w:trPr>
          <w:cantSplit/>
          <w:trHeight w:val="1692" w:hRule="exac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水稻高粱研究所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财务 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42120031</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大学本科及以上学历且取得学士及以上学位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本科：会计（学）专业或财务管理专业</w:t>
            </w:r>
          </w:p>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研究生：会计（学）专业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工作地：德阳市</w:t>
            </w:r>
          </w:p>
        </w:tc>
      </w:tr>
      <w:tr>
        <w:tblPrEx>
          <w:tblLayout w:type="fixed"/>
          <w:tblCellMar>
            <w:top w:w="0" w:type="dxa"/>
            <w:left w:w="108" w:type="dxa"/>
            <w:bottom w:w="0" w:type="dxa"/>
            <w:right w:w="108" w:type="dxa"/>
          </w:tblCellMar>
        </w:tblPrEx>
        <w:trPr>
          <w:cantSplit/>
          <w:trHeight w:val="1692"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经济作物育种栽培研究所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棉花、大豆等作物育种科研岗位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42130032</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作物遗传育种专业或作物栽培学与耕作学专业或生物化学与分子生物学专业或植物营养学专业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工作地：成都市青白江区</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中药材规范化栽培技术科研岗位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42130033</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药用植物学专业或作物栽培学与耕作学专业或植物学专业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工作地：成都市青白江区</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植保科研岗位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42130034</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植物病理学专业或农业昆虫与害虫防治专业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工作地：成都市青白江区</w:t>
            </w:r>
          </w:p>
        </w:tc>
      </w:tr>
      <w:tr>
        <w:tblPrEx>
          <w:tblLayout w:type="fixed"/>
          <w:tblCellMar>
            <w:top w:w="0" w:type="dxa"/>
            <w:left w:w="108" w:type="dxa"/>
            <w:bottom w:w="0" w:type="dxa"/>
            <w:right w:w="108" w:type="dxa"/>
          </w:tblCellMar>
        </w:tblPrEx>
        <w:trPr>
          <w:cantSplit/>
          <w:trHeight w:val="2257"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蚕业研究所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桑树遗传育种及栽培技术科研岗位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42140035</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生物化学与分子生物学专业或作物遗传育种专业或遗传学专业或特种经济动物饲养专业</w:t>
            </w:r>
            <w:r>
              <w:rPr>
                <w:rFonts w:hint="eastAsia" w:ascii="仿宋_GB2312" w:hAnsi="仿宋_GB2312" w:eastAsia="仿宋_GB2312" w:cs="仿宋_GB2312"/>
                <w:color w:val="000000"/>
                <w:szCs w:val="21"/>
              </w:rPr>
              <w:t>或</w:t>
            </w:r>
            <w:r>
              <w:rPr>
                <w:rFonts w:hint="eastAsia" w:ascii="仿宋_GB2312" w:hAnsi="仿宋_GB2312" w:eastAsia="仿宋_GB2312" w:cs="仿宋_GB2312"/>
                <w:szCs w:val="21"/>
              </w:rPr>
              <w:t>植物学专业或植物营养学专业或作物栽培学与耕作学专业或土壤学专业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工作地：南充市</w:t>
            </w:r>
          </w:p>
        </w:tc>
      </w:tr>
      <w:tr>
        <w:tblPrEx>
          <w:tblLayout w:type="fixed"/>
          <w:tblCellMar>
            <w:top w:w="0" w:type="dxa"/>
            <w:left w:w="108" w:type="dxa"/>
            <w:bottom w:w="0" w:type="dxa"/>
            <w:right w:w="108" w:type="dxa"/>
          </w:tblCellMar>
        </w:tblPrEx>
        <w:trPr>
          <w:cantSplit/>
          <w:trHeight w:val="1128"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家蚕遗传育种科研岗位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42140036</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细胞生物学专业或特种经济动物饲养专业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工作地：南充市</w:t>
            </w:r>
          </w:p>
        </w:tc>
      </w:tr>
      <w:tr>
        <w:tblPrEx>
          <w:tblLayout w:type="fixed"/>
          <w:tblCellMar>
            <w:top w:w="0" w:type="dxa"/>
            <w:left w:w="108" w:type="dxa"/>
            <w:bottom w:w="0" w:type="dxa"/>
            <w:right w:w="108" w:type="dxa"/>
          </w:tblCellMar>
        </w:tblPrEx>
        <w:trPr>
          <w:cantSplit/>
          <w:trHeight w:val="1975" w:hRule="exac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水产研究所</w:t>
            </w: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水生动物科研岗位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42150037</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动物学专业或水生生物学</w:t>
            </w:r>
            <w:r>
              <w:rPr>
                <w:rFonts w:hint="eastAsia" w:ascii="仿宋_GB2312" w:hAnsi="仿宋_GB2312" w:eastAsia="仿宋_GB2312" w:cs="仿宋_GB2312"/>
                <w:color w:val="000000"/>
                <w:szCs w:val="21"/>
              </w:rPr>
              <w:t>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工作地：成都市高新西区。需长期驻阿坝州马尔康野外基地</w:t>
            </w:r>
          </w:p>
        </w:tc>
      </w:tr>
      <w:tr>
        <w:tblPrEx>
          <w:tblLayout w:type="fixed"/>
          <w:tblCellMar>
            <w:top w:w="0" w:type="dxa"/>
            <w:left w:w="108" w:type="dxa"/>
            <w:bottom w:w="0" w:type="dxa"/>
            <w:right w:w="108" w:type="dxa"/>
          </w:tblCellMar>
        </w:tblPrEx>
        <w:trPr>
          <w:cantSplit/>
          <w:trHeight w:val="1692" w:hRule="exac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7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专技岗</w:t>
            </w:r>
          </w:p>
        </w:tc>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水生动物育种科研岗位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42150038</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详见 公告</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1984年1月1日及以后出生</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仅限硕士研究生学历学位</w:t>
            </w:r>
          </w:p>
        </w:tc>
        <w:tc>
          <w:tcPr>
            <w:tcW w:w="253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水产养殖专业</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综合知识</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工作地：成都市高新西区。需长期驻宜宾基地</w:t>
            </w:r>
          </w:p>
        </w:tc>
      </w:tr>
    </w:tbl>
    <w:p>
      <w:pPr>
        <w:spacing w:line="240" w:lineRule="exact"/>
        <w:rPr>
          <w:rFonts w:hint="eastAsia" w:ascii="楷体_GB2312" w:eastAsia="楷体_GB2312"/>
          <w:sz w:val="24"/>
          <w:szCs w:val="24"/>
        </w:rPr>
      </w:pPr>
    </w:p>
    <w:p>
      <w:pPr>
        <w:rPr>
          <w:rFonts w:hint="eastAsia" w:ascii="楷体_GB2312" w:eastAsia="楷体_GB2312"/>
          <w:sz w:val="24"/>
          <w:szCs w:val="24"/>
        </w:rPr>
      </w:pPr>
      <w:r>
        <w:rPr>
          <w:rFonts w:hint="eastAsia" w:ascii="楷体_GB2312" w:eastAsia="楷体_GB2312"/>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p>
      <w:pPr>
        <w:rPr>
          <w:rFonts w:ascii="楷体_GB2312" w:eastAsia="楷体_GB2312"/>
          <w:sz w:val="24"/>
          <w:szCs w:val="24"/>
        </w:rPr>
      </w:pPr>
    </w:p>
    <w:p>
      <w:pPr>
        <w:rPr>
          <w:rFonts w:hint="eastAsia" w:ascii="楷体_GB2312" w:eastAsia="楷体_GB2312"/>
          <w:sz w:val="24"/>
          <w:szCs w:val="24"/>
        </w:rPr>
      </w:pPr>
    </w:p>
    <w:sectPr>
      <w:pgSz w:w="16840" w:h="11907" w:orient="landscape"/>
      <w:pgMar w:top="1361" w:right="1361" w:bottom="1361" w:left="136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80E0000" w:usb2="00000000" w:usb3="00000000" w:csb0="00040000" w:csb1="00000000"/>
  </w:font>
  <w:font w:name="楷体_GB2312">
    <w:altName w:val="楷体"/>
    <w:panose1 w:val="02010609030101010101"/>
    <w:charset w:val="86"/>
    <w:family w:val="modern"/>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2C"/>
    <w:rsid w:val="00107455"/>
    <w:rsid w:val="00346AC5"/>
    <w:rsid w:val="00910898"/>
    <w:rsid w:val="009B36DE"/>
    <w:rsid w:val="00BF371E"/>
    <w:rsid w:val="00D7202C"/>
    <w:rsid w:val="73FE70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Style w:val="5"/>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kern w:val="2"/>
      <w:sz w:val="18"/>
      <w:szCs w:val="18"/>
    </w:rPr>
  </w:style>
  <w:style w:type="character" w:customStyle="1" w:styleId="7">
    <w:name w:val="页脚 Char"/>
    <w:basedOn w:val="4"/>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654</Words>
  <Characters>3734</Characters>
  <Lines>31</Lines>
  <Paragraphs>8</Paragraphs>
  <TotalTime>0</TotalTime>
  <ScaleCrop>false</ScaleCrop>
  <LinksUpToDate>false</LinksUpToDate>
  <CharactersWithSpaces>4380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2019-03-12T07:13:00Z</dcterms:created>
  <dc:creator>PC</dc:creator>
  <cp:lastModifiedBy>Administrator</cp:lastModifiedBy>
  <dcterms:modified xsi:type="dcterms:W3CDTF">2019-03-12T07:25:48Z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