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ascii="微软雅黑" w:hAnsi="微软雅黑" w:eastAsia="微软雅黑" w:cs="微软雅黑"/>
          <w:b w:val="0"/>
          <w:i w:val="0"/>
          <w:caps w:val="0"/>
          <w:color w:val="3C3C3C"/>
          <w:spacing w:val="0"/>
          <w:sz w:val="21"/>
          <w:szCs w:val="21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b w:val="0"/>
          <w:i w:val="0"/>
          <w:caps w:val="0"/>
          <w:color w:val="3C3C3C"/>
          <w:spacing w:val="0"/>
          <w:sz w:val="31"/>
          <w:szCs w:val="31"/>
          <w:shd w:val="clear" w:fill="FFFFFF"/>
        </w:rPr>
        <w:t>招聘专业、岗位及具体要求</w:t>
      </w:r>
    </w:p>
    <w:tbl>
      <w:tblPr>
        <w:tblStyle w:val="5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1061"/>
        <w:gridCol w:w="643"/>
        <w:gridCol w:w="851"/>
        <w:gridCol w:w="451"/>
        <w:gridCol w:w="1354"/>
        <w:gridCol w:w="2035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60" w:lineRule="atLeast"/>
              <w:ind w:left="0" w:right="0"/>
              <w:jc w:val="center"/>
            </w:pPr>
            <w:r>
              <w:rPr>
                <w:rStyle w:val="4"/>
                <w:rFonts w:ascii="仿宋_GB2312" w:hAnsi="微软雅黑" w:eastAsia="仿宋_GB2312" w:cs="仿宋_GB2312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  <w:t>招聘单位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  <w:t>招聘岗位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  <w:t>招聘人数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  <w:t>面试最低开考比例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  <w:t>专业要求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  <w:t>学历要求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6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b/>
                <w:i w:val="0"/>
                <w:caps w:val="0"/>
                <w:color w:val="3C3C3C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澄江县疾病预防控制中心3名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病媒生物防制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预防医学专业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主要从事卫生应急、处理突发事件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疾病预防（男）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4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预防医学专业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疾病预防（女）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女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预防医学专业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澄江县中医医院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外科医师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临床医学专业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从事骨伤外科方面的工作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肛肠科医师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中西医结合专业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针推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科医师（男）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针灸推拿学专业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或推拿学专业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针推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科医师（女）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女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针灸推拿学专业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或推拿学专业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澄江县人民医院4名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医师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男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临床医学专业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医师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1:3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31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女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临床医学专业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1" w:line="285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24"/>
                <w:szCs w:val="24"/>
              </w:rPr>
              <w:t>医学类普通高等院校大学本科及以上</w:t>
            </w:r>
          </w:p>
        </w:tc>
        <w:tc>
          <w:tcPr>
            <w:tcW w:w="140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b w:val="0"/>
          <w:i w:val="0"/>
          <w:caps w:val="0"/>
          <w:color w:val="3C3C3C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b w:val="0"/>
          <w:i w:val="0"/>
          <w:caps w:val="0"/>
          <w:color w:val="3C3C3C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17A7E"/>
    <w:rsid w:val="0E917A7E"/>
    <w:rsid w:val="740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2019-03-05T06:06:00Z</dcterms:created>
  <dc:creator>Yan</dc:creator>
  <cp:lastModifiedBy>xuran</cp:lastModifiedBy>
  <dcterms:modified xsi:type="dcterms:W3CDTF">2019-03-06T02:08:22Z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