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t>新进专职科研人员的聘用与培养要求如下：</w:t>
      </w:r>
    </w:p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drawing>
          <wp:inline distT="0" distB="0" distL="114300" distR="114300">
            <wp:extent cx="5305425" cy="1314450"/>
            <wp:effectExtent l="0" t="0" r="1270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3A0C"/>
    <w:rsid w:val="0ABF2D85"/>
    <w:rsid w:val="29A0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2019-02-27T06:34:00Z</dcterms:created>
  <dc:creator>ASUS</dc:creator>
  <cp:lastModifiedBy>xuran</cp:lastModifiedBy>
  <dcterms:modified xsi:type="dcterms:W3CDTF">2019-02-28T01:54:06Z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