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5"/>
        </w:rPr>
        <w:t>2019年</w:t>
      </w:r>
      <w:bookmarkEnd w:id="0"/>
      <w:r>
        <w:rPr>
          <w:rStyle w:val="5"/>
          <w:bdr w:val="none" w:color="auto" w:sz="0" w:space="0"/>
        </w:rPr>
        <w:t>广西民族大学专任教师招聘需求信息表</w:t>
      </w:r>
    </w:p>
    <w:tbl>
      <w:tblPr>
        <w:tblW w:w="830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1002"/>
        <w:gridCol w:w="371"/>
        <w:gridCol w:w="2186"/>
        <w:gridCol w:w="538"/>
        <w:gridCol w:w="538"/>
        <w:gridCol w:w="439"/>
        <w:gridCol w:w="116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tblCellSpacing w:w="0" w:type="dxa"/>
          <w:jc w:val="center"/>
        </w:trPr>
        <w:tc>
          <w:tcPr>
            <w:tcW w:w="3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bdr w:val="none" w:color="auto" w:sz="0" w:space="0"/>
              </w:rPr>
              <w:t>单位序号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bdr w:val="none" w:color="auto" w:sz="0" w:space="0"/>
              </w:rPr>
              <w:t>单位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bdr w:val="none" w:color="auto" w:sz="0" w:space="0"/>
              </w:rPr>
              <w:t>岗位类别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bdr w:val="none" w:color="auto" w:sz="0" w:space="0"/>
              </w:rPr>
              <w:t>需求专业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bdr w:val="none" w:color="auto" w:sz="0" w:space="0"/>
              </w:rPr>
              <w:t>学历学位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bdr w:val="none" w:color="auto" w:sz="0" w:space="0"/>
              </w:rPr>
              <w:t>职称</w:t>
            </w: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bdr w:val="none" w:color="auto" w:sz="0" w:space="0"/>
              </w:rPr>
              <w:t>需求人数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bdr w:val="none" w:color="auto" w:sz="0" w:space="0"/>
              </w:rPr>
              <w:t>其他条件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bdr w:val="none" w:color="auto" w:sz="0" w:space="0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tblCellSpacing w:w="0" w:type="dxa"/>
          <w:jc w:val="center"/>
        </w:trPr>
        <w:tc>
          <w:tcPr>
            <w:tcW w:w="3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政治与公共管理学院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政治学、公共管理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黄老师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3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马克思主义学院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马克思主义理论、哲学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副教授及以上</w:t>
            </w: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梁老师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  <w:tblCellSpacing w:w="0" w:type="dxa"/>
          <w:jc w:val="center"/>
        </w:trPr>
        <w:tc>
          <w:tcPr>
            <w:tcW w:w="3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商学院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工商管理、管理科学与工程、应用经济学、计算机科学与技术、机械工程（物流管理、物流工程、交通运输工程）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梁老师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0771-3265215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3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中英学院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会计学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0771-3265109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法学院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法学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教授</w:t>
            </w:r>
          </w:p>
        </w:tc>
        <w:tc>
          <w:tcPr>
            <w:tcW w:w="4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秦老师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知识产权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教授/副教授</w:t>
            </w: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tblCellSpacing w:w="0" w:type="dxa"/>
          <w:jc w:val="center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民族学与社会学学院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民族学、社会学、历史学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跨境民族研究、海外留学背景优先，具有副高及以上职称，有高校社会工作教学经验者优先</w:t>
            </w:r>
          </w:p>
        </w:tc>
        <w:tc>
          <w:tcPr>
            <w:tcW w:w="17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科学技术史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科学史、技术史、科技考古与非遗保护优先考虑</w:t>
            </w: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  <w:jc w:val="center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教育科学学院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心理学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博士或副高及以上职称硕士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0771-3265951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体育与健康科学学院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体育学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黄老师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0771-3267097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体育学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教授</w:t>
            </w: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文学院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中国语言文学、电影学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语言学及应用语言学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副高及以上</w:t>
            </w: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外国语学院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外国语言文学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副教授及以上</w:t>
            </w: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吴老师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0771-3262665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外国语言文学、翻译学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英语教学与实践方向、二语习得方向</w:t>
            </w: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法语语言文学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副教授及以上</w:t>
            </w: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东南亚语言文化学院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亚非语言文学（缅甸语、马来语、泰语方向）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副高及以上</w:t>
            </w:r>
          </w:p>
        </w:tc>
        <w:tc>
          <w:tcPr>
            <w:tcW w:w="4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许老师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中泰语言与文学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副高及以上</w:t>
            </w: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亚非语言文学（印尼语方向） 、国际关系 （东南亚研究方向）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副高及以上</w:t>
            </w: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理学院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物理学、材料学、数学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俸老师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0771-3260370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数学、学科教学（数学）、电子科学与技术、信息与通信工程、光学工程、无线电物理、应用经济学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副高及以上</w:t>
            </w: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化学化工学院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环境科学与工程、化学工程与技术、材料科学与工程、化学、天然药物化学、中药学、药剂学、制药工程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高分子方向优先，具有海外留学背景优先</w:t>
            </w:r>
          </w:p>
        </w:tc>
        <w:tc>
          <w:tcPr>
            <w:tcW w:w="17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黄老师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0771-3267019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课程与教学论（化学）、学科教学（化学）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博士/硕士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硕士需具有副高及以上职称</w:t>
            </w: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海洋与生物技术学院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海洋科学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副高以上职称优先</w:t>
            </w:r>
          </w:p>
        </w:tc>
        <w:tc>
          <w:tcPr>
            <w:tcW w:w="4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梁老师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0771-3267031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生物学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具有动物研究背景或具有植物与微生物互作研究背景</w:t>
            </w: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生物学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博士/硕士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硕士需具备副高以上职称</w:t>
            </w: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具有师范教育背景</w:t>
            </w: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信息科学与工程学院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计算机科学与技术、机械工程、电气工程、电子科学与技术、信息与通信工程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唐老师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智能科学与技术（人工智能）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国外获本专业学位优先</w:t>
            </w: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软件与信息安全学院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计算机科学与技术、系统科学、应用数学、网络空间安全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博士或副高以上职称硕士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有企业工作经验者优先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0771-3265591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  <w:tblCellSpacing w:w="0" w:type="dxa"/>
          <w:jc w:val="center"/>
        </w:trPr>
        <w:tc>
          <w:tcPr>
            <w:tcW w:w="3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管理学院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工商管理学、管理科学与工程、经济学、心理学、图书馆、情报与档案学、计算机科学与技术、数学、统计学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博士或正高职称的硕士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陶老师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0771-3265851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  <w:jc w:val="center"/>
        </w:trPr>
        <w:tc>
          <w:tcPr>
            <w:tcW w:w="3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艺术学院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音乐表演、产品设计、视觉传达设计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副高及以上</w:t>
            </w: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产品设计教师要求本硕学习阶段均为产品设计专业，视觉传达设计教师要求数字媒体设计方向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乐老师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0771-3267107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传媒学院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语言学及应用语言学、广播电视艺术学、播音与主持艺术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副高及以上</w:t>
            </w:r>
          </w:p>
        </w:tc>
        <w:tc>
          <w:tcPr>
            <w:tcW w:w="4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要求全日制本科学习阶段有播音与主持艺术专业背景</w:t>
            </w:r>
          </w:p>
        </w:tc>
        <w:tc>
          <w:tcPr>
            <w:tcW w:w="17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0771-3267061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广播电视艺术学、教育技术学、电影学、新闻传播学、编辑出版学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或副高及以上</w:t>
            </w: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0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东盟学院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世界史、政治学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国外高校东南亚研究方向博士应聘者可不限于前述专业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外国语言文学、民族学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0771-3267011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广西民族大学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土木工程、建筑学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吴老师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国际教育学院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中国语言文学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具有对外汉语教学工作经历优先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0771-3260861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0" w:type="dxa"/>
          <w:jc w:val="center"/>
        </w:trPr>
        <w:tc>
          <w:tcPr>
            <w:tcW w:w="3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民族研究中心</w:t>
            </w:r>
          </w:p>
        </w:tc>
        <w:tc>
          <w:tcPr>
            <w:tcW w:w="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教师岗</w:t>
            </w:r>
          </w:p>
        </w:tc>
        <w:tc>
          <w:tcPr>
            <w:tcW w:w="2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民族学、人类学、历史学、社会学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副高以上优先</w:t>
            </w: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郑老师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0771-3264155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3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bdr w:val="none" w:color="auto" w:sz="0" w:space="0"/>
              </w:rPr>
              <w:t>需求合计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bdr w:val="none" w:color="auto" w:sz="0" w:space="0"/>
              </w:rPr>
              <w:t>131</w:t>
            </w:r>
          </w:p>
        </w:tc>
        <w:tc>
          <w:tcPr>
            <w:tcW w:w="1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7196D"/>
    <w:rsid w:val="2AE719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2019-02-22T10:33:00Z</dcterms:created>
  <dc:creator>ASUS</dc:creator>
  <cp:lastModifiedBy>ASUS</cp:lastModifiedBy>
  <dcterms:modified xsi:type="dcterms:W3CDTF">2019-02-22T10:33:51Z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