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16161"/>
          <w:spacing w:val="0"/>
          <w:sz w:val="32"/>
          <w:szCs w:val="32"/>
          <w:bdr w:val="none" w:color="auto" w:sz="0" w:space="0"/>
          <w:shd w:val="clear" w:fill="FFFFFF"/>
        </w:rPr>
        <w:t>岗位、专业等要求</w:t>
      </w:r>
    </w:p>
    <w:bookmarkEnd w:id="0"/>
    <w:tbl>
      <w:tblPr>
        <w:tblpPr w:vertAnchor="text" w:tblpXSpec="left"/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28"/>
        <w:gridCol w:w="1077"/>
        <w:gridCol w:w="624"/>
        <w:gridCol w:w="881"/>
        <w:gridCol w:w="1062"/>
        <w:gridCol w:w="1730"/>
        <w:gridCol w:w="13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招聘名额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药剂岗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中药学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中药学初级及以上职称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临床岗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具有执业医师资格或住院医师规范化培训合格证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护理岗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30周岁以下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全日制普通高校专科及以上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具有护士执业资格证书，职称护士及以上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D6FB4"/>
    <w:rsid w:val="0CED6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2019-01-28T07:08:00Z</dcterms:created>
  <dc:creator>ASUS</dc:creator>
  <cp:lastModifiedBy>ASUS</cp:lastModifiedBy>
  <dcterms:modified xsi:type="dcterms:W3CDTF">2019-01-28T07:08:19Z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