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color="auto" w:fill="auto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/>
        <w:ind w:left="0" w:right="0" w:firstLine="216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color="auto" w:fill="auto"/>
        </w:rPr>
        <w:t>2019年第二轮岗位人员需求情况一览表</w:t>
      </w:r>
    </w:p>
    <w:bookmarkEnd w:id="0"/>
    <w:tbl>
      <w:tblPr>
        <w:tblW w:w="9780" w:type="dxa"/>
        <w:jc w:val="center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853"/>
        <w:gridCol w:w="569"/>
        <w:gridCol w:w="2688"/>
        <w:gridCol w:w="2257"/>
        <w:gridCol w:w="1136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科室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岗位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需求人数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学历学位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专业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年龄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教学科研岗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专业技术十级及以上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10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全日制普通高校研究生学历并取得博士学位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left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医学类、基础医学类、临床医学类、口腔医学类、中医学类、中西医结合类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40周岁及以下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带教编招聘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儿童内科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儿科学、临床医学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儿保医师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儿科学、临床医学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康复医师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康复医学类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呼吸内科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呼吸治疗师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呼吸治疗技术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30岁以下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消化内科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内科学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心血管内科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内科学（心血管方向）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肾病风湿科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内科学（风湿免疫方向）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感染科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内科学、临床医学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骨科（创伤）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外科学（手外科方向）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具有手外科工作经历，取得规培证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骨科（脊柱）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骨科（关节）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乳甲疝血管外科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胃肠外科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神经外科（NICU）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医师1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内科学（呼吸方向）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医师2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外科学（神经外科方向）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神经外科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外科学（神经外科方向）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烧伤整形科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外科学（烧伤整形方向）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麻醉科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医师1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麻醉学或临床医学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医师2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麻醉学或临床医学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口腔科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口腔医学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康复医学科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外科学（骨科方向）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30岁以下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康复治疗师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康复治疗学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30岁以下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中级及以上职称，5年及以上三甲教学医院康复治疗工作经历，熟悉儿童康复、呼吸康复者优先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放射科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医师1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影像医学与核医学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医师2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影像医学与核医学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超声科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医师1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影像医学与核医学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医师2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医学影像学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医师3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医学影像学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临床营养科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临床医学、营养学相关专业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核医学科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影像医学与核医学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技师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医学影像技术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急诊科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内科学、外科学、急诊医学、老年医学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眼科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医师1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眼科学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医师2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眼科学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泌尿外科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医师1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全日制博士研究生学历并取得相应学位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临床医学、外科学（泌尿方向）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带编招聘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医师2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临床医学、外科学（泌尿方向）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科技科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职员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全日制硕士研究生及以上学历并取得相应学位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医学、卫生事业管理或教育相关专业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兴龙湖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社区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医师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中医专业或中西医结合专业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医务科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（质控办）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职员</w:t>
            </w:r>
          </w:p>
        </w:tc>
        <w:tc>
          <w:tcPr>
            <w:tcW w:w="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全日制本科及以上学历并取得相应学位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临床医学专业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35岁以下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300" w:afterAutospacing="0"/>
              <w:ind w:left="0" w:right="0"/>
              <w:jc w:val="center"/>
              <w:rPr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color="auto" w:fill="auto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color="auto" w:fill="auto"/>
        </w:rPr>
        <w:t>备注：第二轮岗位人员需求情况一览表中列明取得规培证的岗位，对全日制硕士研究生及以上学历，学术学位优秀者，可放宽为作为第一作者（或通讯作者）发表影响因子1分以上SCI论文1篇及以上。</w:t>
      </w:r>
    </w:p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07A0"/>
    <w:rsid w:val="6D8C0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2019-01-22T08:55:00Z</dcterms:created>
  <dc:creator>天空</dc:creator>
  <cp:lastModifiedBy>天空</cp:lastModifiedBy>
  <dcterms:modified xsi:type="dcterms:W3CDTF">2019-01-22T08:57:23Z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