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/>
        <w:jc w:val="center"/>
        <w:rPr>
          <w:rFonts w:hint="eastAsia" w:ascii="宋体" w:hAnsi="宋体" w:eastAsia="宋体" w:cs="宋体"/>
          <w:color w:val="6B6B6B"/>
          <w:sz w:val="18"/>
          <w:szCs w:val="18"/>
        </w:rPr>
      </w:pPr>
      <w:r>
        <w:rPr>
          <w:b/>
          <w:color w:val="4B4B4B"/>
          <w:sz w:val="30"/>
          <w:szCs w:val="30"/>
          <w:bdr w:val="none" w:color="auto" w:sz="0" w:space="0"/>
          <w:shd w:val="clear" w:fill="FFFFFF"/>
        </w:rPr>
        <w:t>《普通高等学校高等职业教育（专科）专业目录》 2019年增补专业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</w:pPr>
      <w:r>
        <w:rPr>
          <w:rFonts w:ascii="微软雅黑" w:hAnsi="微软雅黑" w:eastAsia="微软雅黑" w:cs="微软雅黑"/>
          <w:color w:val="4B4B4B"/>
          <w:sz w:val="24"/>
          <w:szCs w:val="24"/>
          <w:bdr w:val="none" w:color="auto" w:sz="0" w:space="0"/>
          <w:shd w:val="clear" w:fill="FFFFFF"/>
        </w:rPr>
        <w:t>　　根据《普通高等学校高等职业教育（专科）专业设置管理办法》，在相关学校和行业提交增补专业建议的基础上，教育部组织研究确定了2019年度增补专业共9个，现予公布，自2020年起执行。</w:t>
      </w:r>
    </w:p>
    <w:tbl>
      <w:tblPr>
        <w:tblW w:w="5000" w:type="pct"/>
        <w:jc w:val="center"/>
        <w:tblBorders>
          <w:top w:val="single" w:color="auto" w:sz="8" w:space="0"/>
          <w:left w:val="outset" w:color="auto" w:sz="6" w:space="0"/>
          <w:bottom w:val="single" w:color="auto" w:sz="8" w:space="0"/>
          <w:right w:val="outset" w:color="auto" w:sz="6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635"/>
        <w:gridCol w:w="2278"/>
        <w:gridCol w:w="2282"/>
        <w:gridCol w:w="1005"/>
        <w:gridCol w:w="2220"/>
      </w:tblGrid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18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能源动力与材料大类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5303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新能源发电工程类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530309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"http://www.moe.gov.cn/s78/A07/zcs_ztzl/2017_zt06/17zt06_bznr/bznr_ptgxgdzjml/ptgx_mlxjzydz/201910/W020191018570325987036.doc"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氢能技术应用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交通运输大类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6001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铁道运输类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600114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"http://www.moe.gov.cn/s78/A07/zcs_ztzl/2017_zt06/17zt06_bznr/bznr_ptgxgdzjml/ptgx_mlxjzydz/201910/W020191018570325998445.docx"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高铁综合维修技术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6101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610120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"http://www.moe.gov.cn/s78/A07/zcs_ztzl/2017_zt06/17zt06_bznr/bznr_ptgxgdzjml/ptgx_mlxjzydz/201910/W020191018570326006688.doc"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集成电路技术应用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6102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610217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"http://www.moe.gov.cn/s78/A07/zcs_ztzl/2017_zt06/17zt06_bznr/bznr_ptgxgdzjml/ptgx_mlxjzydz/201910/W020191018570326000104.doc"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人工智能技术服务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财经商贸大类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38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6308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电子商务类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630805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"http://www.moe.gov.cn/s78/A07/zcs_ztzl/2017_zt06/17zt06_bznr/bznr_ptgxgdzjml/ptgx_mlxjzydz/201910/W020191018570326011309.doc"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跨境电子商务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6401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640107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"http://www.moe.gov.cn/s78/A07/zcs_ztzl/2017_zt06/17zt06_bznr/bznr_ptgxgdzjml/ptgx_mlxjzydz/201910/W020191018570326027406.doc"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研学旅行管理与服务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6401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640108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"http://www.moe.gov.cn/s78/A07/zcs_ztzl/2017_zt06/17zt06_bznr/bznr_ptgxgdzjml/ptgx_mlxjzydz/201910/W020191018570326034050.doc"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葡萄酒营销与服务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教育与体育大类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46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6704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670412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"http://www.moe.gov.cn/s78/A07/zcs_ztzl/2017_zt06/17zt06_bznr/bznr_ptgxgdzjml/ptgx_mlxjzydz/201910/W020191018570326048218.docx"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冰雪设施运维与管理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outset" w:color="auto" w:sz="6" w:space="0"/>
            <w:bottom w:val="single" w:color="auto" w:sz="8" w:space="0"/>
            <w:right w:val="outset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77" w:type="pct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0"/>
                <w:szCs w:val="21"/>
                <w:bdr w:val="none" w:color="auto" w:sz="0" w:space="0"/>
                <w:lang w:val="en-US" w:eastAsia="zh-CN" w:bidi="ar"/>
              </w:rPr>
              <w:t>69</w:t>
            </w: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0"/>
                <w:szCs w:val="21"/>
                <w:bdr w:val="none" w:color="auto" w:sz="0" w:space="0"/>
                <w:lang w:val="en-US" w:eastAsia="zh-CN" w:bidi="ar"/>
              </w:rPr>
              <w:t>公共管理与服务大类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6903</w:t>
            </w:r>
            <w:r>
              <w:rPr>
                <w:rFonts w:hint="eastAsia" w:ascii="仿宋_GB2312" w:hAnsi="微软雅黑" w:eastAsia="仿宋_GB2312" w:cs="仿宋_GB231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公共服务类</w:t>
            </w: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690307</w:t>
            </w:r>
          </w:p>
        </w:tc>
        <w:tc>
          <w:tcPr>
            <w:tcW w:w="1318" w:type="pct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  <w:shd w:val="clear"/>
            <w:tcMar>
              <w:top w:w="85" w:type="dxa"/>
              <w:bottom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overflowPunct w:val="0"/>
              <w:adjustRightInd w:val="0"/>
              <w:spacing w:before="0" w:beforeAutospacing="1" w:after="0" w:afterAutospacing="1" w:line="600" w:lineRule="exac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"http://www.moe.gov.cn/s78/A07/zcs_ztzl/2017_zt06/17zt06_bznr/bznr_ptgxgdzjml/ptgx_mlxjzydz/201910/W020191018570326045773.doc" \t "http://www.moe.gov.cn/s78/A07/zcs_ztzl/2017_zt06/17zt06_bznr/bznr_ptgxgdzjml/ptgx_mlxjzydz/201910/_blank" </w:instrTex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仿宋_GB2312" w:hAnsi="微软雅黑" w:eastAsia="仿宋_GB2312" w:cs="仿宋_GB2312"/>
                <w:color w:val="0000FF"/>
                <w:sz w:val="20"/>
                <w:szCs w:val="20"/>
                <w:u w:val="none"/>
                <w:bdr w:val="none" w:color="auto" w:sz="0" w:space="0"/>
              </w:rPr>
              <w:t>陵园服务与管理</w:t>
            </w:r>
            <w:r>
              <w:rPr>
                <w:rFonts w:hint="eastAsia" w:ascii="仿宋_GB2312" w:hAnsi="微软雅黑" w:eastAsia="仿宋_GB2312" w:cs="仿宋_GB2312"/>
                <w:color w:val="0000FF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32DF4"/>
    <w:rsid w:val="4A43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yperlink"/>
    <w:basedOn w:val="5"/>
    <w:uiPriority w:val="0"/>
    <w:rPr>
      <w:color w:val="0000FF"/>
      <w:u w:val="none"/>
    </w:rPr>
  </w:style>
  <w:style w:type="character" w:customStyle="1" w:styleId="8">
    <w:name w:val="hover17"/>
    <w:basedOn w:val="5"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2019-12-26T05:18:00Z</dcterms:created>
  <dc:creator>Elder Tie</dc:creator>
  <cp:lastModifiedBy>Elder Tie</cp:lastModifiedBy>
  <dcterms:modified xsi:type="dcterms:W3CDTF">2019-12-26T05:18:45Z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