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left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附件4：</w:t>
      </w:r>
    </w:p>
    <w:p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/>
          <w:lang w:val="en-US" w:eastAsia="zh-CN"/>
        </w:rPr>
        <w:t>告知书</w:t>
      </w:r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有以下情况者呼市地铁有权不予录取：</w:t>
      </w:r>
    </w:p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有色盲、色弱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纹身</w:t>
      </w:r>
      <w:r>
        <w:rPr>
          <w:rFonts w:hint="eastAsia"/>
          <w:sz w:val="28"/>
          <w:szCs w:val="28"/>
        </w:rPr>
        <w:t>者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毕业时不能取得毕业证书者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呼市地铁培训后不能取得上岗证、培训考核不合格者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违反国家相关法律法规或在校受到记过及以上纪律处分者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体检不符合呼市地铁岗位要求者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已与呼市地铁签订三方协议者，不得与其它单位签约，如未履行者需向呼市地铁赔付违约金人民币3000元整。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宋体" w:hAnsi="宋体" w:cs="宋体"/>
          <w:sz w:val="32"/>
          <w:szCs w:val="32"/>
        </w:rPr>
        <w:t>乙方签字</w:t>
      </w:r>
      <w:r>
        <w:rPr>
          <w:rFonts w:hint="eastAsia" w:ascii="宋体" w:hAnsi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</w:p>
    <w:p>
      <w:pPr>
        <w:jc w:val="righ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 xml:space="preserve">  年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</w:rPr>
        <w:t xml:space="preserve">  月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</w:rPr>
        <w:t xml:space="preserve">  日    </w:t>
      </w:r>
    </w:p>
    <w:p/>
    <w:p>
      <w:pPr>
        <w:rPr>
          <w:rFonts w:hint="eastAsia"/>
          <w:b/>
          <w:bCs/>
        </w:rPr>
      </w:pPr>
    </w:p>
    <w:p/>
    <w:p/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1405"/>
    <w:multiLevelType w:val="singleLevel"/>
    <w:tmpl w:val="59C314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C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...</cp:lastModifiedBy>
  <dcterms:modified xsi:type="dcterms:W3CDTF">2019-10-17T01:35:16Z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