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7EDCA"/>
  <w:body>
    <w:p>
      <w:pPr>
        <w:rPr>
          <w:rFonts w:ascii="仿宋_GB2312" w:hAnsi="仿宋"/>
          <w:szCs w:val="32"/>
        </w:rPr>
      </w:pPr>
    </w:p>
    <w:p>
      <w:pPr>
        <w:jc w:val="center"/>
        <w:rPr>
          <w:rFonts w:ascii="方正小标宋简体" w:eastAsia="方正小标宋简体"/>
          <w:sz w:val="44"/>
          <w:szCs w:val="44"/>
        </w:rPr>
      </w:pPr>
      <w:r>
        <w:rPr>
          <w:rFonts w:hint="eastAsia" w:ascii="方正小标宋简体" w:eastAsia="方正小标宋简体"/>
          <w:sz w:val="44"/>
          <w:szCs w:val="44"/>
        </w:rPr>
        <w:t>辽宁省交通建设投资集团招聘公告</w:t>
      </w:r>
    </w:p>
    <w:p>
      <w:pPr>
        <w:rPr>
          <w:rFonts w:ascii="仿宋_GB2312" w:hAnsi="仿宋"/>
          <w:szCs w:val="32"/>
        </w:rPr>
      </w:pPr>
    </w:p>
    <w:p>
      <w:pPr>
        <w:pStyle w:val="9"/>
        <w:spacing w:before="0" w:beforeAutospacing="0" w:after="0" w:afterAutospacing="0"/>
        <w:ind w:firstLine="674" w:firstLineChars="200"/>
        <w:jc w:val="both"/>
        <w:rPr>
          <w:rFonts w:ascii="Times New Roman" w:hAnsi="Times New Roman" w:eastAsia="仿宋_GB2312" w:cs="Times New Roman"/>
          <w:color w:val="auto"/>
          <w:sz w:val="32"/>
          <w:szCs w:val="32"/>
          <w:highlight w:val="none"/>
        </w:rPr>
      </w:pPr>
      <w:r>
        <w:rPr>
          <w:rFonts w:ascii="Times New Roman" w:hAnsi="仿宋_GB2312" w:eastAsia="仿宋_GB2312" w:cs="Times New Roman"/>
          <w:sz w:val="32"/>
          <w:szCs w:val="32"/>
        </w:rPr>
        <w:t>辽宁省交通建设投资集团有限责任公司</w:t>
      </w:r>
      <w:r>
        <w:rPr>
          <w:rFonts w:hint="eastAsia" w:ascii="Times New Roman" w:hAnsi="仿宋_GB2312" w:eastAsia="仿宋_GB2312" w:cs="Times New Roman"/>
          <w:sz w:val="32"/>
          <w:szCs w:val="32"/>
        </w:rPr>
        <w:t>（以下简称“辽宁省交投集团”）</w:t>
      </w:r>
      <w:r>
        <w:rPr>
          <w:rFonts w:ascii="Times New Roman" w:hAnsi="仿宋_GB2312" w:eastAsia="仿宋_GB2312" w:cs="Times New Roman"/>
          <w:sz w:val="32"/>
          <w:szCs w:val="32"/>
        </w:rPr>
        <w:t>是经辽宁省委、省政府批准组建的大型国有企业集团，</w:t>
      </w:r>
      <w:r>
        <w:rPr>
          <w:rFonts w:ascii="Times New Roman" w:hAnsi="Times New Roman" w:eastAsia="仿宋_GB2312" w:cs="Times New Roman"/>
          <w:sz w:val="32"/>
          <w:szCs w:val="32"/>
        </w:rPr>
        <w:t>2016</w:t>
      </w:r>
      <w:r>
        <w:rPr>
          <w:rFonts w:ascii="Times New Roman" w:hAnsi="仿宋_GB2312" w:eastAsia="仿宋_GB2312" w:cs="Times New Roman"/>
          <w:sz w:val="32"/>
          <w:szCs w:val="32"/>
        </w:rPr>
        <w:t>年</w:t>
      </w:r>
      <w:r>
        <w:rPr>
          <w:rFonts w:ascii="Times New Roman" w:hAnsi="Times New Roman" w:eastAsia="仿宋_GB2312" w:cs="Times New Roman"/>
          <w:sz w:val="32"/>
          <w:szCs w:val="32"/>
        </w:rPr>
        <w:t>1</w:t>
      </w:r>
      <w:r>
        <w:rPr>
          <w:rFonts w:ascii="Times New Roman" w:hAnsi="仿宋_GB2312" w:eastAsia="仿宋_GB2312" w:cs="Times New Roman"/>
          <w:sz w:val="32"/>
          <w:szCs w:val="32"/>
        </w:rPr>
        <w:t>月</w:t>
      </w:r>
      <w:r>
        <w:rPr>
          <w:rFonts w:ascii="Times New Roman" w:hAnsi="Times New Roman" w:eastAsia="仿宋_GB2312" w:cs="Times New Roman"/>
          <w:sz w:val="32"/>
          <w:szCs w:val="32"/>
        </w:rPr>
        <w:t>18</w:t>
      </w:r>
      <w:r>
        <w:rPr>
          <w:rFonts w:ascii="Times New Roman" w:hAnsi="仿宋_GB2312" w:eastAsia="仿宋_GB2312" w:cs="Times New Roman"/>
          <w:sz w:val="32"/>
          <w:szCs w:val="32"/>
        </w:rPr>
        <w:t>日完成工商注册，注册资本</w:t>
      </w:r>
      <w:r>
        <w:rPr>
          <w:rFonts w:ascii="Times New Roman" w:hAnsi="Times New Roman" w:eastAsia="仿宋_GB2312" w:cs="Times New Roman"/>
          <w:sz w:val="32"/>
          <w:szCs w:val="32"/>
        </w:rPr>
        <w:t>366.5</w:t>
      </w:r>
      <w:r>
        <w:rPr>
          <w:rFonts w:ascii="Times New Roman" w:hAnsi="仿宋_GB2312" w:eastAsia="仿宋_GB2312" w:cs="Times New Roman"/>
          <w:sz w:val="32"/>
          <w:szCs w:val="32"/>
        </w:rPr>
        <w:t>亿元。集团经省政府授权享有省内公路、铁路等交通基础设施项目的特许经营权；主要负责省内公路、铁路等交通基础设施项目投融资、建设、运营及管理；参与省内公路、铁路等交通基础设施</w:t>
      </w:r>
      <w:r>
        <w:rPr>
          <w:rFonts w:ascii="Times New Roman" w:hAnsi="Times New Roman" w:eastAsia="仿宋_GB2312" w:cs="Times New Roman"/>
          <w:sz w:val="32"/>
          <w:szCs w:val="32"/>
        </w:rPr>
        <w:t>PPP</w:t>
      </w:r>
      <w:r>
        <w:rPr>
          <w:rFonts w:ascii="Times New Roman" w:hAnsi="仿宋_GB2312" w:eastAsia="仿宋_GB2312" w:cs="Times New Roman"/>
          <w:sz w:val="32"/>
          <w:szCs w:val="32"/>
        </w:rPr>
        <w:t>项目；通过资源整合、资产重组和土地开发等方式，逐步增加资产规模和融资能力，实现国有资产保值增值。</w:t>
      </w:r>
      <w:r>
        <w:rPr>
          <w:rFonts w:hint="eastAsia" w:ascii="Times New Roman" w:hAnsi="仿宋_GB2312" w:eastAsia="仿宋_GB2312" w:cs="Times New Roman"/>
          <w:sz w:val="32"/>
          <w:szCs w:val="32"/>
        </w:rPr>
        <w:t>辽宁省</w:t>
      </w:r>
      <w:r>
        <w:rPr>
          <w:rFonts w:ascii="Times New Roman" w:hAnsi="仿宋_GB2312" w:eastAsia="仿宋_GB2312" w:cs="Times New Roman"/>
          <w:sz w:val="32"/>
          <w:szCs w:val="32"/>
        </w:rPr>
        <w:t>交投集团组织建设和运营管理的高速公路总里程</w:t>
      </w:r>
      <w:r>
        <w:rPr>
          <w:rFonts w:ascii="Times New Roman" w:hAnsi="Times New Roman" w:eastAsia="仿宋_GB2312" w:cs="Times New Roman"/>
          <w:color w:val="auto"/>
          <w:sz w:val="32"/>
          <w:szCs w:val="32"/>
          <w:highlight w:val="none"/>
        </w:rPr>
        <w:t>4331</w:t>
      </w:r>
      <w:r>
        <w:rPr>
          <w:rFonts w:ascii="Times New Roman" w:hAnsi="仿宋_GB2312" w:eastAsia="仿宋_GB2312" w:cs="Times New Roman"/>
          <w:color w:val="auto"/>
          <w:sz w:val="32"/>
          <w:szCs w:val="32"/>
          <w:highlight w:val="none"/>
        </w:rPr>
        <w:t>公里，资产规模</w:t>
      </w:r>
      <w:r>
        <w:rPr>
          <w:rFonts w:hint="eastAsia" w:ascii="Times New Roman" w:hAnsi="仿宋_GB2312" w:eastAsia="仿宋_GB2312" w:cs="Times New Roman"/>
          <w:color w:val="auto"/>
          <w:sz w:val="32"/>
          <w:szCs w:val="32"/>
          <w:highlight w:val="none"/>
        </w:rPr>
        <w:t>突破</w:t>
      </w:r>
      <w:r>
        <w:rPr>
          <w:rFonts w:ascii="Times New Roman" w:hAnsi="Times New Roman" w:eastAsia="仿宋_GB2312" w:cs="Times New Roman"/>
          <w:color w:val="auto"/>
          <w:sz w:val="32"/>
          <w:szCs w:val="32"/>
          <w:highlight w:val="none"/>
        </w:rPr>
        <w:t>2600</w:t>
      </w:r>
      <w:r>
        <w:rPr>
          <w:rFonts w:ascii="Times New Roman" w:hAnsi="仿宋_GB2312" w:eastAsia="仿宋_GB2312" w:cs="Times New Roman"/>
          <w:color w:val="auto"/>
          <w:sz w:val="32"/>
          <w:szCs w:val="32"/>
          <w:highlight w:val="none"/>
        </w:rPr>
        <w:t>亿元，</w:t>
      </w:r>
      <w:r>
        <w:rPr>
          <w:rFonts w:ascii="Times New Roman" w:hAnsi="Times New Roman" w:eastAsia="仿宋_GB2312" w:cs="Times New Roman"/>
          <w:color w:val="auto"/>
          <w:sz w:val="32"/>
          <w:szCs w:val="32"/>
          <w:highlight w:val="none"/>
        </w:rPr>
        <w:t>为辽宁省资产规模最大的</w:t>
      </w:r>
      <w:r>
        <w:rPr>
          <w:rFonts w:hint="eastAsia" w:ascii="Times New Roman" w:hAnsi="Times New Roman" w:eastAsia="仿宋_GB2312" w:cs="Times New Roman"/>
          <w:color w:val="auto"/>
          <w:sz w:val="32"/>
          <w:szCs w:val="32"/>
          <w:highlight w:val="none"/>
          <w:lang w:val="en-US" w:eastAsia="zh-CN"/>
        </w:rPr>
        <w:t>省属</w:t>
      </w:r>
      <w:r>
        <w:rPr>
          <w:rFonts w:ascii="Times New Roman" w:hAnsi="Times New Roman" w:eastAsia="仿宋_GB2312" w:cs="Times New Roman"/>
          <w:color w:val="auto"/>
          <w:sz w:val="32"/>
          <w:szCs w:val="32"/>
          <w:highlight w:val="none"/>
        </w:rPr>
        <w:t>国有企业。辽宁省交投集团</w:t>
      </w:r>
      <w:r>
        <w:rPr>
          <w:rFonts w:hint="eastAsia" w:ascii="Times New Roman" w:hAnsi="仿宋_GB2312" w:eastAsia="仿宋_GB2312" w:cs="Times New Roman"/>
          <w:color w:val="auto"/>
          <w:sz w:val="32"/>
          <w:szCs w:val="32"/>
          <w:highlight w:val="none"/>
        </w:rPr>
        <w:t>控股子公司</w:t>
      </w:r>
      <w:r>
        <w:rPr>
          <w:rFonts w:ascii="Times New Roman" w:hAnsi="Times New Roman" w:eastAsia="仿宋_GB2312" w:cs="Times New Roman"/>
          <w:color w:val="auto"/>
          <w:sz w:val="32"/>
          <w:szCs w:val="32"/>
          <w:highlight w:val="none"/>
        </w:rPr>
        <w:t>34</w:t>
      </w:r>
      <w:r>
        <w:rPr>
          <w:rFonts w:ascii="Times New Roman" w:hAnsi="仿宋_GB2312" w:eastAsia="仿宋_GB2312" w:cs="Times New Roman"/>
          <w:color w:val="auto"/>
          <w:sz w:val="32"/>
          <w:szCs w:val="32"/>
          <w:highlight w:val="none"/>
        </w:rPr>
        <w:t>家，职工</w:t>
      </w:r>
      <w:r>
        <w:rPr>
          <w:rFonts w:hint="eastAsia" w:ascii="Times New Roman" w:hAnsi="仿宋_GB2312" w:eastAsia="仿宋_GB2312" w:cs="Times New Roman"/>
          <w:color w:val="auto"/>
          <w:sz w:val="32"/>
          <w:szCs w:val="32"/>
          <w:highlight w:val="none"/>
        </w:rPr>
        <w:t>总数</w:t>
      </w:r>
      <w:r>
        <w:rPr>
          <w:rFonts w:ascii="Times New Roman" w:hAnsi="Times New Roman" w:eastAsia="仿宋_GB2312" w:cs="Times New Roman"/>
          <w:color w:val="auto"/>
          <w:sz w:val="32"/>
          <w:szCs w:val="32"/>
          <w:highlight w:val="none"/>
        </w:rPr>
        <w:t>1.8</w:t>
      </w:r>
      <w:r>
        <w:rPr>
          <w:rFonts w:ascii="Times New Roman" w:hAnsi="仿宋_GB2312" w:eastAsia="仿宋_GB2312" w:cs="Times New Roman"/>
          <w:color w:val="auto"/>
          <w:sz w:val="32"/>
          <w:szCs w:val="32"/>
          <w:highlight w:val="none"/>
        </w:rPr>
        <w:t>万</w:t>
      </w:r>
      <w:r>
        <w:rPr>
          <w:rFonts w:hint="eastAsia" w:ascii="Times New Roman" w:hAnsi="仿宋_GB2312" w:eastAsia="仿宋_GB2312" w:cs="Times New Roman"/>
          <w:color w:val="auto"/>
          <w:sz w:val="32"/>
          <w:szCs w:val="32"/>
          <w:highlight w:val="none"/>
        </w:rPr>
        <w:t>余</w:t>
      </w:r>
      <w:r>
        <w:rPr>
          <w:rFonts w:ascii="Times New Roman" w:hAnsi="仿宋_GB2312" w:eastAsia="仿宋_GB2312" w:cs="Times New Roman"/>
          <w:color w:val="auto"/>
          <w:sz w:val="32"/>
          <w:szCs w:val="32"/>
          <w:highlight w:val="none"/>
        </w:rPr>
        <w:t>人，</w:t>
      </w:r>
      <w:r>
        <w:rPr>
          <w:rFonts w:ascii="Times New Roman" w:hAnsi="Times New Roman" w:eastAsia="仿宋_GB2312" w:cs="Times New Roman"/>
          <w:color w:val="auto"/>
          <w:sz w:val="32"/>
          <w:szCs w:val="32"/>
          <w:highlight w:val="none"/>
        </w:rPr>
        <w:t>2018</w:t>
      </w:r>
      <w:r>
        <w:rPr>
          <w:rFonts w:ascii="Times New Roman" w:hAnsi="仿宋_GB2312" w:eastAsia="仿宋_GB2312" w:cs="Times New Roman"/>
          <w:color w:val="auto"/>
          <w:sz w:val="32"/>
          <w:szCs w:val="32"/>
          <w:highlight w:val="none"/>
        </w:rPr>
        <w:t>年实现营业收入</w:t>
      </w:r>
      <w:r>
        <w:rPr>
          <w:rFonts w:ascii="Times New Roman" w:hAnsi="Times New Roman" w:eastAsia="仿宋_GB2312" w:cs="Times New Roman"/>
          <w:color w:val="auto"/>
          <w:sz w:val="32"/>
          <w:szCs w:val="32"/>
          <w:highlight w:val="none"/>
        </w:rPr>
        <w:t>173</w:t>
      </w:r>
      <w:r>
        <w:rPr>
          <w:rFonts w:ascii="Times New Roman" w:hAnsi="仿宋_GB2312" w:eastAsia="仿宋_GB2312" w:cs="Times New Roman"/>
          <w:color w:val="auto"/>
          <w:sz w:val="32"/>
          <w:szCs w:val="32"/>
          <w:highlight w:val="none"/>
        </w:rPr>
        <w:t>亿元。</w:t>
      </w:r>
    </w:p>
    <w:p>
      <w:pPr>
        <w:pStyle w:val="9"/>
        <w:spacing w:before="0" w:beforeAutospacing="0" w:after="0" w:afterAutospacing="0"/>
        <w:ind w:firstLine="674" w:firstLineChars="200"/>
        <w:jc w:val="both"/>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辽宁省交投</w:t>
      </w:r>
      <w:r>
        <w:rPr>
          <w:rFonts w:ascii="Times New Roman" w:hAnsi="仿宋_GB2312" w:eastAsia="仿宋_GB2312" w:cs="Times New Roman"/>
          <w:color w:val="auto"/>
          <w:sz w:val="32"/>
          <w:szCs w:val="32"/>
          <w:highlight w:val="none"/>
        </w:rPr>
        <w:t>集团</w:t>
      </w:r>
      <w:r>
        <w:rPr>
          <w:rFonts w:ascii="Times New Roman" w:hAnsi="Times New Roman" w:eastAsia="仿宋_GB2312" w:cs="Times New Roman"/>
          <w:color w:val="auto"/>
          <w:sz w:val="32"/>
          <w:szCs w:val="32"/>
          <w:highlight w:val="none"/>
        </w:rPr>
        <w:t>旗下</w:t>
      </w:r>
      <w:r>
        <w:rPr>
          <w:rFonts w:ascii="Times New Roman" w:hAnsi="仿宋_GB2312" w:eastAsia="仿宋_GB2312" w:cs="Times New Roman"/>
          <w:color w:val="auto"/>
          <w:sz w:val="32"/>
          <w:szCs w:val="32"/>
          <w:highlight w:val="none"/>
        </w:rPr>
        <w:t>主要业务企业共</w:t>
      </w:r>
      <w:r>
        <w:rPr>
          <w:rFonts w:ascii="Times New Roman" w:hAnsi="Times New Roman" w:eastAsia="仿宋_GB2312" w:cs="Times New Roman"/>
          <w:color w:val="auto"/>
          <w:sz w:val="32"/>
          <w:szCs w:val="32"/>
          <w:highlight w:val="none"/>
        </w:rPr>
        <w:t>7</w:t>
      </w:r>
      <w:r>
        <w:rPr>
          <w:rFonts w:ascii="Times New Roman" w:hAnsi="仿宋_GB2312" w:eastAsia="仿宋_GB2312" w:cs="Times New Roman"/>
          <w:color w:val="auto"/>
          <w:sz w:val="32"/>
          <w:szCs w:val="32"/>
          <w:highlight w:val="none"/>
        </w:rPr>
        <w:t>家，</w:t>
      </w:r>
      <w:r>
        <w:rPr>
          <w:rFonts w:ascii="Times New Roman" w:hAnsi="Times New Roman" w:eastAsia="仿宋_GB2312" w:cs="Times New Roman"/>
          <w:color w:val="auto"/>
          <w:sz w:val="32"/>
          <w:szCs w:val="32"/>
          <w:highlight w:val="none"/>
        </w:rPr>
        <w:t>已有多年的发展历史，取得了良好的业绩，尤其在高速公路建设、运营</w:t>
      </w:r>
      <w:r>
        <w:rPr>
          <w:rFonts w:hint="eastAsia" w:ascii="Times New Roman" w:hAnsi="Times New Roman" w:eastAsia="仿宋_GB2312" w:cs="Times New Roman"/>
          <w:color w:val="auto"/>
          <w:sz w:val="32"/>
          <w:szCs w:val="32"/>
          <w:highlight w:val="none"/>
        </w:rPr>
        <w:t>管理</w:t>
      </w:r>
      <w:r>
        <w:rPr>
          <w:rFonts w:ascii="Times New Roman" w:hAnsi="Times New Roman" w:eastAsia="仿宋_GB2312" w:cs="Times New Roman"/>
          <w:color w:val="auto"/>
          <w:sz w:val="32"/>
          <w:szCs w:val="32"/>
          <w:highlight w:val="none"/>
        </w:rPr>
        <w:t>等方面在全国居于领先水平。</w:t>
      </w:r>
    </w:p>
    <w:p>
      <w:pPr>
        <w:pStyle w:val="9"/>
        <w:spacing w:before="0" w:beforeAutospacing="0" w:after="0" w:afterAutospacing="0"/>
        <w:ind w:firstLine="674" w:firstLineChars="200"/>
        <w:jc w:val="both"/>
        <w:rPr>
          <w:rFonts w:ascii="Times New Roman" w:hAnsi="Times New Roman" w:eastAsia="仿宋_GB2312" w:cs="Times New Roman"/>
          <w:sz w:val="32"/>
          <w:szCs w:val="32"/>
        </w:rPr>
      </w:pPr>
      <w:r>
        <w:rPr>
          <w:rFonts w:ascii="Times New Roman" w:hAnsi="仿宋_GB2312" w:eastAsia="仿宋_GB2312" w:cs="Times New Roman"/>
          <w:sz w:val="32"/>
          <w:szCs w:val="32"/>
        </w:rPr>
        <w:t>辽宁省高速公路运营管理有限责任公司，前身为辽宁省高速公路管理局，负责对全省已建成</w:t>
      </w:r>
      <w:bookmarkStart w:id="0" w:name="_GoBack"/>
      <w:bookmarkEnd w:id="0"/>
      <w:r>
        <w:rPr>
          <w:rFonts w:ascii="Times New Roman" w:hAnsi="仿宋_GB2312" w:eastAsia="仿宋_GB2312" w:cs="Times New Roman"/>
          <w:sz w:val="32"/>
          <w:szCs w:val="32"/>
        </w:rPr>
        <w:t>通车的高速公路实施集中统一运营管理，同时承担新建高速公路机电工程的建设管理工作。</w:t>
      </w:r>
    </w:p>
    <w:p>
      <w:pPr>
        <w:pStyle w:val="9"/>
        <w:spacing w:before="0" w:beforeAutospacing="0" w:after="0" w:afterAutospacing="0"/>
        <w:ind w:firstLine="674" w:firstLineChars="200"/>
        <w:jc w:val="both"/>
        <w:rPr>
          <w:rFonts w:ascii="Times New Roman" w:hAnsi="Times New Roman" w:eastAsia="仿宋_GB2312" w:cs="Times New Roman"/>
          <w:sz w:val="32"/>
          <w:szCs w:val="32"/>
        </w:rPr>
      </w:pPr>
      <w:r>
        <w:rPr>
          <w:rFonts w:ascii="Times New Roman" w:hAnsi="仿宋_GB2312" w:eastAsia="仿宋_GB2312" w:cs="Times New Roman"/>
          <w:sz w:val="32"/>
          <w:szCs w:val="32"/>
        </w:rPr>
        <w:t>辽宁省交通建设管理有限责任公司，前身为辽宁省高等级公路建设局，负责全省高速公路项目建设管理工作，对外经营工程代建业务。</w:t>
      </w:r>
    </w:p>
    <w:p>
      <w:pPr>
        <w:pStyle w:val="9"/>
        <w:spacing w:before="0" w:beforeAutospacing="0" w:after="0" w:afterAutospacing="0"/>
        <w:ind w:firstLine="674" w:firstLineChars="200"/>
        <w:jc w:val="both"/>
        <w:rPr>
          <w:rFonts w:ascii="Times New Roman" w:hAnsi="Times New Roman" w:eastAsia="仿宋_GB2312" w:cs="Times New Roman"/>
          <w:sz w:val="32"/>
          <w:szCs w:val="32"/>
        </w:rPr>
      </w:pPr>
      <w:r>
        <w:rPr>
          <w:rFonts w:ascii="Times New Roman" w:hAnsi="仿宋_GB2312" w:eastAsia="仿宋_GB2312" w:cs="Times New Roman"/>
          <w:sz w:val="32"/>
          <w:szCs w:val="32"/>
        </w:rPr>
        <w:t>辽宁省交通规划设计院有限责任公司，主要从事公路、桥梁等交通基础设施的勘测、咨询、设计等业务。</w:t>
      </w:r>
    </w:p>
    <w:p>
      <w:pPr>
        <w:pStyle w:val="9"/>
        <w:spacing w:before="0" w:beforeAutospacing="0" w:after="0" w:afterAutospacing="0"/>
        <w:ind w:firstLine="674" w:firstLineChars="200"/>
        <w:jc w:val="both"/>
        <w:rPr>
          <w:rFonts w:ascii="Times New Roman" w:hAnsi="Times New Roman" w:eastAsia="仿宋_GB2312" w:cs="Times New Roman"/>
          <w:sz w:val="32"/>
          <w:szCs w:val="32"/>
        </w:rPr>
      </w:pPr>
      <w:r>
        <w:rPr>
          <w:rFonts w:ascii="Times New Roman" w:hAnsi="仿宋_GB2312" w:eastAsia="仿宋_GB2312" w:cs="Times New Roman"/>
          <w:sz w:val="32"/>
          <w:szCs w:val="32"/>
        </w:rPr>
        <w:t>辽宁省交通科学研究院有限责任公司，主要从事交通技术开发、咨询、服务，以及公路工程试验、检测、监理、养护等业务。</w:t>
      </w:r>
    </w:p>
    <w:p>
      <w:pPr>
        <w:pStyle w:val="9"/>
        <w:spacing w:before="0" w:beforeAutospacing="0" w:after="0" w:afterAutospacing="0"/>
        <w:ind w:firstLine="674" w:firstLineChars="200"/>
        <w:jc w:val="both"/>
        <w:rPr>
          <w:rFonts w:ascii="Times New Roman" w:hAnsi="Times New Roman" w:eastAsia="仿宋_GB2312" w:cs="Times New Roman"/>
          <w:sz w:val="32"/>
          <w:szCs w:val="32"/>
        </w:rPr>
      </w:pPr>
      <w:r>
        <w:rPr>
          <w:rFonts w:ascii="Times New Roman" w:hAnsi="仿宋_GB2312" w:eastAsia="仿宋_GB2312" w:cs="Times New Roman"/>
          <w:sz w:val="32"/>
          <w:szCs w:val="32"/>
        </w:rPr>
        <w:t>辽宁省高速公路实业发展有限责任公司，主要从事高速公路服务区经营管理和</w:t>
      </w:r>
      <w:r>
        <w:rPr>
          <w:rFonts w:ascii="Times New Roman" w:hAnsi="仿宋_GB2312" w:eastAsia="仿宋_GB2312" w:cs="Times New Roman"/>
          <w:sz w:val="32"/>
          <w:szCs w:val="32"/>
          <w:highlight w:val="none"/>
        </w:rPr>
        <w:t>高速公路维护相关配套服务等业务</w:t>
      </w:r>
      <w:r>
        <w:rPr>
          <w:rFonts w:ascii="Times New Roman" w:hAnsi="仿宋_GB2312" w:eastAsia="仿宋_GB2312" w:cs="Times New Roman"/>
          <w:sz w:val="32"/>
          <w:szCs w:val="32"/>
        </w:rPr>
        <w:t>。</w:t>
      </w:r>
    </w:p>
    <w:p>
      <w:pPr>
        <w:pStyle w:val="9"/>
        <w:spacing w:before="0" w:beforeAutospacing="0" w:after="0" w:afterAutospacing="0"/>
        <w:ind w:firstLine="674" w:firstLineChars="200"/>
        <w:jc w:val="both"/>
        <w:rPr>
          <w:rFonts w:ascii="Times New Roman" w:hAnsi="Times New Roman" w:eastAsia="仿宋_GB2312" w:cs="Times New Roman"/>
          <w:sz w:val="32"/>
          <w:szCs w:val="32"/>
        </w:rPr>
      </w:pPr>
      <w:r>
        <w:rPr>
          <w:rFonts w:ascii="Times New Roman" w:hAnsi="仿宋_GB2312" w:eastAsia="仿宋_GB2312" w:cs="Times New Roman"/>
          <w:sz w:val="32"/>
          <w:szCs w:val="32"/>
        </w:rPr>
        <w:t>辽宁省交通运输服务有限责任公司，主要从事道路旅客运输站经营与管理。</w:t>
      </w:r>
    </w:p>
    <w:p>
      <w:pPr>
        <w:pStyle w:val="9"/>
        <w:spacing w:before="0" w:beforeAutospacing="0" w:after="0" w:afterAutospacing="0"/>
        <w:ind w:firstLine="674" w:firstLineChars="200"/>
        <w:jc w:val="both"/>
        <w:rPr>
          <w:rFonts w:ascii="Times New Roman" w:hAnsi="Times New Roman" w:eastAsia="仿宋_GB2312" w:cs="Times New Roman"/>
          <w:sz w:val="32"/>
          <w:szCs w:val="32"/>
        </w:rPr>
      </w:pPr>
      <w:r>
        <w:rPr>
          <w:rFonts w:ascii="Times New Roman" w:hAnsi="仿宋_GB2312" w:eastAsia="仿宋_GB2312" w:cs="Times New Roman"/>
          <w:sz w:val="32"/>
          <w:szCs w:val="32"/>
        </w:rPr>
        <w:t>辽宁艾特斯智能交通技术有限公司，主要从事各等级公路机电工程、系统集成、监理、软硬件研发及产品销售。</w:t>
      </w:r>
    </w:p>
    <w:p>
      <w:pPr>
        <w:ind w:firstLine="674" w:firstLineChars="200"/>
        <w:rPr>
          <w:rFonts w:ascii="Times New Roman" w:hAnsi="Times New Roman" w:cs="Times New Roman"/>
          <w:kern w:val="0"/>
          <w:szCs w:val="32"/>
        </w:rPr>
      </w:pPr>
      <w:r>
        <w:rPr>
          <w:rFonts w:ascii="Times New Roman" w:hAnsi="仿宋_GB2312" w:cs="Times New Roman"/>
          <w:szCs w:val="32"/>
        </w:rPr>
        <w:t>面向未来，辽宁省交投集团以</w:t>
      </w:r>
      <w:r>
        <w:rPr>
          <w:rFonts w:hint="eastAsia" w:ascii="仿宋_GB2312" w:hAnsi="Times New Roman" w:cs="Times New Roman"/>
          <w:szCs w:val="32"/>
        </w:rPr>
        <w:t>“</w:t>
      </w:r>
      <w:r>
        <w:rPr>
          <w:rFonts w:hint="eastAsia" w:ascii="仿宋_GB2312" w:hAnsi="仿宋_GB2312" w:cs="Times New Roman"/>
          <w:szCs w:val="32"/>
        </w:rPr>
        <w:t>成为拥有强大资本实力和可持续发展能力的交通及相关产业投资建设运营集团</w:t>
      </w:r>
      <w:r>
        <w:rPr>
          <w:rFonts w:hint="eastAsia" w:ascii="仿宋_GB2312" w:hAnsi="Times New Roman" w:cs="Times New Roman"/>
          <w:szCs w:val="32"/>
        </w:rPr>
        <w:t>”</w:t>
      </w:r>
      <w:r>
        <w:rPr>
          <w:rFonts w:ascii="Times New Roman" w:hAnsi="仿宋_GB2312" w:cs="Times New Roman"/>
          <w:szCs w:val="32"/>
        </w:rPr>
        <w:t>为发展愿景，着力</w:t>
      </w:r>
      <w:r>
        <w:rPr>
          <w:rFonts w:ascii="Times New Roman" w:hAnsi="仿宋_GB2312" w:cs="Times New Roman"/>
          <w:kern w:val="0"/>
          <w:szCs w:val="32"/>
        </w:rPr>
        <w:t>构建以基础设施产业为主体，以金融产业、战略新兴产业为两翼的三大产业主题。</w:t>
      </w:r>
      <w:r>
        <w:rPr>
          <w:rFonts w:ascii="Times New Roman" w:hAnsi="仿宋_GB2312" w:cs="Times New Roman"/>
          <w:szCs w:val="32"/>
        </w:rPr>
        <w:t>进一步发挥高速公路及相关产业资源与优势，打造</w:t>
      </w:r>
      <w:r>
        <w:rPr>
          <w:rFonts w:hint="eastAsia" w:ascii="仿宋_GB2312" w:hAnsi="Times New Roman" w:cs="Times New Roman"/>
          <w:szCs w:val="32"/>
        </w:rPr>
        <w:t>“</w:t>
      </w:r>
      <w:r>
        <w:rPr>
          <w:rFonts w:hint="eastAsia" w:ascii="仿宋_GB2312" w:hAnsi="仿宋_GB2312" w:cs="Times New Roman"/>
          <w:szCs w:val="32"/>
        </w:rPr>
        <w:t>一主四辅多元</w:t>
      </w:r>
      <w:r>
        <w:rPr>
          <w:rFonts w:hint="eastAsia" w:ascii="仿宋_GB2312" w:hAnsi="Times New Roman" w:cs="Times New Roman"/>
          <w:szCs w:val="32"/>
        </w:rPr>
        <w:t>”</w:t>
      </w:r>
      <w:r>
        <w:rPr>
          <w:rFonts w:ascii="Times New Roman" w:hAnsi="仿宋_GB2312" w:cs="Times New Roman"/>
          <w:szCs w:val="32"/>
        </w:rPr>
        <w:t>的业务板块新格局，一主即：高速公路建设与运营板块；四辅即：交通金融板块、交通科技板块、商贸物流板块、路衍产业板块；多元即：多元化业务培育，</w:t>
      </w:r>
      <w:r>
        <w:rPr>
          <w:rFonts w:ascii="Times New Roman" w:hAnsi="仿宋_GB2312" w:cs="Times New Roman"/>
          <w:kern w:val="0"/>
          <w:szCs w:val="32"/>
        </w:rPr>
        <w:t>努力推动辽宁交通基础设施升级发展，</w:t>
      </w:r>
      <w:r>
        <w:rPr>
          <w:rFonts w:ascii="Times New Roman" w:hAnsi="仿宋_GB2312" w:cs="Times New Roman"/>
          <w:kern w:val="0"/>
          <w:szCs w:val="32"/>
          <w:highlight w:val="none"/>
        </w:rPr>
        <w:t>助力全省经济发展壮大和民生品质持续改善提升</w:t>
      </w:r>
      <w:r>
        <w:rPr>
          <w:rFonts w:ascii="Times New Roman" w:hAnsi="仿宋_GB2312" w:cs="Times New Roman"/>
          <w:kern w:val="0"/>
          <w:szCs w:val="32"/>
        </w:rPr>
        <w:t>。</w:t>
      </w:r>
    </w:p>
    <w:p>
      <w:pPr>
        <w:ind w:firstLine="674" w:firstLineChars="200"/>
        <w:rPr>
          <w:rFonts w:ascii="Times New Roman" w:hAnsi="Times New Roman" w:cs="Times New Roman"/>
          <w:szCs w:val="32"/>
        </w:rPr>
      </w:pPr>
      <w:r>
        <w:rPr>
          <w:rFonts w:ascii="Times New Roman" w:hAnsi="Times New Roman" w:cs="Times New Roman"/>
          <w:szCs w:val="32"/>
        </w:rPr>
        <w:t>为满足业务发展需要，辽宁省交投集团拟面向社会招聘91名工作人员，现公告如下：</w:t>
      </w:r>
    </w:p>
    <w:p>
      <w:pPr>
        <w:ind w:firstLine="674" w:firstLineChars="200"/>
        <w:rPr>
          <w:rFonts w:ascii="Times New Roman" w:hAnsi="Times New Roman" w:eastAsia="黑体" w:cs="Times New Roman"/>
          <w:szCs w:val="32"/>
        </w:rPr>
      </w:pPr>
      <w:r>
        <w:rPr>
          <w:rFonts w:ascii="Times New Roman" w:hAnsi="黑体" w:eastAsia="黑体" w:cs="Times New Roman"/>
          <w:szCs w:val="32"/>
        </w:rPr>
        <w:t>一、报考的基本条件</w:t>
      </w:r>
    </w:p>
    <w:p>
      <w:pPr>
        <w:widowControl/>
        <w:ind w:firstLine="674" w:firstLineChars="200"/>
        <w:rPr>
          <w:rFonts w:ascii="Times New Roman" w:hAnsi="Times New Roman" w:cs="Times New Roman"/>
          <w:szCs w:val="32"/>
        </w:rPr>
      </w:pPr>
      <w:r>
        <w:rPr>
          <w:rFonts w:ascii="Times New Roman" w:hAnsi="Times New Roman" w:cs="Times New Roman"/>
          <w:szCs w:val="32"/>
        </w:rPr>
        <w:t>具有中华人民共和国国籍；拥护中华人民共和国宪法；年满十八周岁；具有良好的品行；具有正常履行职责的身体条件。曾因犯罪受过各类刑事处罚，有犯罪嫌疑尚未查清或正在接受纪律审查的，国家法律法规规定不得招聘的其他人员，均不得报考。</w:t>
      </w:r>
    </w:p>
    <w:p>
      <w:pPr>
        <w:ind w:firstLine="674" w:firstLineChars="200"/>
        <w:rPr>
          <w:rFonts w:ascii="Times New Roman" w:hAnsi="Times New Roman" w:eastAsia="黑体" w:cs="Times New Roman"/>
          <w:szCs w:val="32"/>
        </w:rPr>
      </w:pPr>
      <w:r>
        <w:rPr>
          <w:rFonts w:ascii="Times New Roman" w:hAnsi="黑体" w:eastAsia="黑体" w:cs="Times New Roman"/>
          <w:szCs w:val="32"/>
        </w:rPr>
        <w:t>二、报考的必备条件</w:t>
      </w:r>
    </w:p>
    <w:p>
      <w:pPr>
        <w:ind w:firstLine="674" w:firstLineChars="200"/>
        <w:rPr>
          <w:rFonts w:ascii="Times New Roman" w:hAnsi="Times New Roman" w:cs="Times New Roman"/>
          <w:szCs w:val="32"/>
        </w:rPr>
      </w:pPr>
      <w:r>
        <w:rPr>
          <w:rFonts w:ascii="Times New Roman" w:hAnsi="仿宋_GB2312" w:cs="Times New Roman"/>
          <w:szCs w:val="32"/>
        </w:rPr>
        <w:t>（一）学历条件。辽宁省交投集团总部岗位学历要求，一般应具有</w:t>
      </w:r>
      <w:r>
        <w:rPr>
          <w:rFonts w:ascii="Times New Roman" w:hAnsi="仿宋_GB2312" w:cs="Times New Roman"/>
          <w:szCs w:val="32"/>
          <w:highlight w:val="none"/>
        </w:rPr>
        <w:t>双一流院校、原</w:t>
      </w:r>
      <w:r>
        <w:rPr>
          <w:rFonts w:ascii="Times New Roman" w:hAnsi="Times New Roman" w:cs="Times New Roman"/>
          <w:szCs w:val="32"/>
          <w:highlight w:val="none"/>
        </w:rPr>
        <w:t>985</w:t>
      </w:r>
      <w:r>
        <w:rPr>
          <w:rFonts w:ascii="Times New Roman" w:hAnsi="仿宋_GB2312" w:cs="Times New Roman"/>
          <w:szCs w:val="32"/>
          <w:highlight w:val="none"/>
        </w:rPr>
        <w:t>、</w:t>
      </w:r>
      <w:r>
        <w:rPr>
          <w:rFonts w:ascii="Times New Roman" w:hAnsi="Times New Roman" w:cs="Times New Roman"/>
          <w:szCs w:val="32"/>
          <w:highlight w:val="none"/>
        </w:rPr>
        <w:t>211</w:t>
      </w:r>
      <w:r>
        <w:rPr>
          <w:rFonts w:ascii="Times New Roman" w:hAnsi="仿宋_GB2312" w:cs="Times New Roman"/>
          <w:szCs w:val="32"/>
          <w:highlight w:val="none"/>
        </w:rPr>
        <w:t>院校、国外知名大学或财经、建筑等与岗位要求专业相同的专业类院校</w:t>
      </w:r>
      <w:r>
        <w:rPr>
          <w:rFonts w:ascii="Times New Roman" w:hAnsi="仿宋_GB2312" w:cs="Times New Roman"/>
          <w:szCs w:val="32"/>
        </w:rPr>
        <w:t>，全日制硕士研究生及以上学历。辽宁省交投集团下属企业岗位一般应为普通高校全日制学历。</w:t>
      </w:r>
    </w:p>
    <w:p>
      <w:pPr>
        <w:ind w:firstLine="674" w:firstLineChars="200"/>
        <w:rPr>
          <w:rFonts w:ascii="Times New Roman" w:hAnsi="Times New Roman" w:cs="Times New Roman"/>
          <w:szCs w:val="32"/>
        </w:rPr>
      </w:pPr>
      <w:r>
        <w:rPr>
          <w:rFonts w:ascii="Times New Roman" w:hAnsi="仿宋_GB2312" w:cs="Times New Roman"/>
          <w:szCs w:val="32"/>
        </w:rPr>
        <w:t>（二）年龄条件。报考辽宁省交投集团总部部长岗位的，年龄一般应在</w:t>
      </w:r>
      <w:r>
        <w:rPr>
          <w:rFonts w:ascii="Times New Roman" w:hAnsi="Times New Roman" w:cs="Times New Roman"/>
          <w:szCs w:val="32"/>
        </w:rPr>
        <w:t>45</w:t>
      </w:r>
      <w:r>
        <w:rPr>
          <w:rFonts w:ascii="Times New Roman" w:hAnsi="仿宋_GB2312" w:cs="Times New Roman"/>
          <w:szCs w:val="32"/>
        </w:rPr>
        <w:t>周岁以下；报考副部长岗位或主管岗位的，年龄一般应在</w:t>
      </w:r>
      <w:r>
        <w:rPr>
          <w:rFonts w:ascii="Times New Roman" w:hAnsi="Times New Roman" w:cs="Times New Roman"/>
          <w:szCs w:val="32"/>
        </w:rPr>
        <w:t>40</w:t>
      </w:r>
      <w:r>
        <w:rPr>
          <w:rFonts w:ascii="Times New Roman" w:hAnsi="仿宋_GB2312" w:cs="Times New Roman"/>
          <w:szCs w:val="32"/>
        </w:rPr>
        <w:t>周岁以下。报考辽宁省交投集团其他岗位的，年龄一般应在</w:t>
      </w:r>
      <w:r>
        <w:rPr>
          <w:rFonts w:ascii="Times New Roman" w:hAnsi="Times New Roman" w:cs="Times New Roman"/>
          <w:szCs w:val="32"/>
        </w:rPr>
        <w:t>35</w:t>
      </w:r>
      <w:r>
        <w:rPr>
          <w:rFonts w:ascii="Times New Roman" w:hAnsi="仿宋_GB2312" w:cs="Times New Roman"/>
          <w:szCs w:val="32"/>
        </w:rPr>
        <w:t>周岁以下。</w:t>
      </w:r>
    </w:p>
    <w:p>
      <w:pPr>
        <w:ind w:firstLine="674" w:firstLineChars="200"/>
        <w:rPr>
          <w:rFonts w:ascii="Times New Roman" w:hAnsi="Times New Roman" w:cs="Times New Roman"/>
          <w:szCs w:val="32"/>
        </w:rPr>
      </w:pPr>
      <w:r>
        <w:rPr>
          <w:rFonts w:ascii="Times New Roman" w:hAnsi="仿宋_GB2312" w:cs="Times New Roman"/>
          <w:szCs w:val="32"/>
        </w:rPr>
        <w:t>（三）具有博士学位人员，具有副高级以上职称或注册会计师、注册审计师、法律职业资格证书等职业资格人员，具有机关、事业单位副处级以上职务人员，具有大型企业集团、上市公司中层以上职务人员，具有中型企业主要领导工作经历人员，以及辽宁省交投集团业务发展急需的特殊人才，其年龄条件和学历条件可适当放宽。</w:t>
      </w:r>
    </w:p>
    <w:p>
      <w:pPr>
        <w:ind w:firstLine="674" w:firstLineChars="200"/>
        <w:rPr>
          <w:rFonts w:ascii="Times New Roman" w:hAnsi="Times New Roman" w:cs="Times New Roman"/>
          <w:szCs w:val="32"/>
        </w:rPr>
      </w:pPr>
      <w:r>
        <w:rPr>
          <w:rFonts w:ascii="Times New Roman" w:hAnsi="Times New Roman" w:cs="Times New Roman"/>
          <w:szCs w:val="32"/>
        </w:rPr>
        <w:t>（四）所学专业符合岗位需要。应聘有职称、职业资格条件要求的岗位，须持有相应职称、职业资格证书。</w:t>
      </w:r>
    </w:p>
    <w:p>
      <w:pPr>
        <w:ind w:firstLine="674" w:firstLineChars="200"/>
        <w:rPr>
          <w:rFonts w:ascii="Times New Roman" w:hAnsi="Times New Roman" w:cs="Times New Roman"/>
          <w:szCs w:val="32"/>
        </w:rPr>
      </w:pPr>
      <w:r>
        <w:rPr>
          <w:rFonts w:ascii="Times New Roman" w:hAnsi="Times New Roman" w:cs="Times New Roman"/>
          <w:szCs w:val="32"/>
        </w:rPr>
        <w:t>（五）熟悉本岗位所需的法律法规和专业知识。</w:t>
      </w:r>
    </w:p>
    <w:p>
      <w:pPr>
        <w:ind w:firstLine="674" w:firstLineChars="200"/>
        <w:rPr>
          <w:rFonts w:ascii="Times New Roman" w:hAnsi="Times New Roman" w:cs="Times New Roman"/>
          <w:szCs w:val="32"/>
        </w:rPr>
      </w:pPr>
      <w:r>
        <w:rPr>
          <w:rFonts w:ascii="Times New Roman" w:hAnsi="Times New Roman" w:cs="Times New Roman"/>
          <w:szCs w:val="32"/>
        </w:rPr>
        <w:t>（六）能够熟练使用办公自动化软件和本专业常用软件。</w:t>
      </w:r>
    </w:p>
    <w:p>
      <w:pPr>
        <w:ind w:firstLine="674" w:firstLineChars="200"/>
        <w:rPr>
          <w:rFonts w:ascii="Times New Roman" w:hAnsi="Times New Roman" w:cs="Times New Roman"/>
          <w:szCs w:val="32"/>
        </w:rPr>
      </w:pPr>
      <w:r>
        <w:rPr>
          <w:rFonts w:ascii="Times New Roman" w:hAnsi="Times New Roman" w:cs="Times New Roman"/>
          <w:szCs w:val="32"/>
        </w:rPr>
        <w:t>（七）具有良好的职业素养，具有较好的沟通协调能力。</w:t>
      </w:r>
    </w:p>
    <w:p>
      <w:pPr>
        <w:ind w:firstLine="674" w:firstLineChars="200"/>
        <w:rPr>
          <w:rFonts w:ascii="Times New Roman" w:hAnsi="Times New Roman" w:cs="Times New Roman"/>
          <w:szCs w:val="32"/>
        </w:rPr>
      </w:pPr>
      <w:r>
        <w:rPr>
          <w:rFonts w:ascii="Times New Roman" w:hAnsi="Times New Roman" w:cs="Times New Roman"/>
          <w:szCs w:val="32"/>
        </w:rPr>
        <w:t>（八）具有招考岗位所需要的其他条件（详见《辽宁省交投集团2019年公开招聘工作人员岗位信息表》）。</w:t>
      </w:r>
    </w:p>
    <w:p>
      <w:pPr>
        <w:ind w:firstLine="674" w:firstLineChars="200"/>
        <w:rPr>
          <w:rFonts w:ascii="Times New Roman" w:hAnsi="Times New Roman" w:eastAsia="黑体" w:cs="Times New Roman"/>
          <w:szCs w:val="32"/>
        </w:rPr>
      </w:pPr>
      <w:r>
        <w:rPr>
          <w:rFonts w:ascii="Times New Roman" w:hAnsi="黑体" w:eastAsia="黑体" w:cs="Times New Roman"/>
          <w:szCs w:val="32"/>
        </w:rPr>
        <w:t>三、报考程序</w:t>
      </w:r>
    </w:p>
    <w:p>
      <w:pPr>
        <w:ind w:firstLine="674" w:firstLineChars="200"/>
        <w:rPr>
          <w:rFonts w:ascii="Times New Roman" w:hAnsi="Times New Roman" w:cs="Times New Roman"/>
          <w:szCs w:val="32"/>
        </w:rPr>
      </w:pPr>
      <w:r>
        <w:rPr>
          <w:rFonts w:hint="eastAsia" w:ascii="楷体_GB2312" w:hAnsi="Times New Roman" w:eastAsia="楷体_GB2312" w:cs="Times New Roman"/>
          <w:szCs w:val="32"/>
        </w:rPr>
        <w:t>（一）岗位查询。</w:t>
      </w:r>
      <w:r>
        <w:rPr>
          <w:rFonts w:ascii="Times New Roman" w:hAnsi="Times New Roman" w:cs="Times New Roman"/>
          <w:szCs w:val="32"/>
        </w:rPr>
        <w:t>招聘的具体岗位、人数和资格条件等可通过辽宁省交投集团网站查询（http://www.lnjttz.cn/）。</w:t>
      </w:r>
    </w:p>
    <w:p>
      <w:pPr>
        <w:ind w:firstLine="674" w:firstLineChars="200"/>
        <w:rPr>
          <w:rFonts w:ascii="Times New Roman" w:hAnsi="Times New Roman" w:cs="Times New Roman"/>
          <w:szCs w:val="32"/>
        </w:rPr>
      </w:pPr>
      <w:r>
        <w:rPr>
          <w:rFonts w:ascii="楷体_GB2312" w:hAnsi="Times New Roman" w:eastAsia="楷体_GB2312" w:cs="Times New Roman"/>
          <w:szCs w:val="32"/>
        </w:rPr>
        <w:t>（二）报名。</w:t>
      </w:r>
      <w:r>
        <w:rPr>
          <w:rFonts w:ascii="Times New Roman" w:hAnsi="Times New Roman" w:cs="Times New Roman"/>
          <w:szCs w:val="32"/>
        </w:rPr>
        <w:t>报名采取网络报名方式，不设现场报名。报名网站是</w:t>
      </w:r>
      <w:r>
        <w:rPr>
          <w:rFonts w:hint="eastAsia" w:ascii="Times New Roman" w:hAnsi="Times New Roman" w:cs="Times New Roman"/>
          <w:szCs w:val="32"/>
        </w:rPr>
        <w:t>“</w:t>
      </w:r>
      <w:r>
        <w:rPr>
          <w:rFonts w:ascii="Times New Roman" w:hAnsi="Times New Roman" w:cs="Times New Roman"/>
          <w:szCs w:val="32"/>
        </w:rPr>
        <w:t>辽宁省交投集团</w:t>
      </w:r>
      <w:r>
        <w:rPr>
          <w:rFonts w:hint="eastAsia" w:ascii="Times New Roman" w:hAnsi="Times New Roman" w:cs="Times New Roman"/>
          <w:szCs w:val="32"/>
        </w:rPr>
        <w:t>”</w:t>
      </w:r>
      <w:r>
        <w:rPr>
          <w:rFonts w:ascii="Times New Roman" w:hAnsi="Times New Roman" w:cs="Times New Roman"/>
          <w:szCs w:val="32"/>
        </w:rPr>
        <w:t>网站</w:t>
      </w:r>
      <w:r>
        <w:rPr>
          <w:rFonts w:hint="eastAsia" w:ascii="Times New Roman" w:hAnsi="Times New Roman" w:cs="Times New Roman"/>
          <w:szCs w:val="32"/>
        </w:rPr>
        <w:t>，并</w:t>
      </w:r>
      <w:r>
        <w:rPr>
          <w:rFonts w:ascii="Times New Roman" w:hAnsi="Times New Roman" w:cs="Times New Roman"/>
          <w:szCs w:val="32"/>
        </w:rPr>
        <w:t>按以下程序进行：</w:t>
      </w:r>
    </w:p>
    <w:p>
      <w:pPr>
        <w:widowControl/>
        <w:ind w:firstLine="674" w:firstLineChars="200"/>
        <w:rPr>
          <w:rFonts w:ascii="Times New Roman" w:hAnsi="Times New Roman" w:eastAsia="微软雅黑" w:cs="Times New Roman"/>
        </w:rPr>
      </w:pPr>
      <w:r>
        <w:rPr>
          <w:rFonts w:ascii="Times New Roman" w:hAnsi="Times New Roman" w:cs="Times New Roman"/>
          <w:szCs w:val="32"/>
        </w:rPr>
        <w:t>1.</w:t>
      </w:r>
      <w:r>
        <w:rPr>
          <w:rFonts w:hint="eastAsia" w:ascii="Times New Roman" w:hAnsi="Times New Roman" w:cs="Times New Roman"/>
          <w:szCs w:val="32"/>
        </w:rPr>
        <w:t xml:space="preserve"> </w:t>
      </w:r>
      <w:r>
        <w:rPr>
          <w:rFonts w:ascii="Times New Roman" w:hAnsi="Times New Roman" w:cs="Times New Roman"/>
          <w:szCs w:val="32"/>
        </w:rPr>
        <w:t>提交报考申请和上传本人电子照片。报考人员可在2019年4月9日9时至4月22日24时，登录</w:t>
      </w:r>
      <w:r>
        <w:rPr>
          <w:rFonts w:hint="eastAsia" w:ascii="Times New Roman" w:hAnsi="Times New Roman" w:cs="Times New Roman"/>
          <w:szCs w:val="32"/>
        </w:rPr>
        <w:t>“</w:t>
      </w:r>
      <w:r>
        <w:rPr>
          <w:rFonts w:ascii="Times New Roman" w:hAnsi="Times New Roman" w:cs="Times New Roman"/>
          <w:szCs w:val="32"/>
        </w:rPr>
        <w:t>辽宁省交投集团</w:t>
      </w:r>
      <w:r>
        <w:rPr>
          <w:rFonts w:hint="eastAsia" w:ascii="Times New Roman" w:hAnsi="Times New Roman" w:cs="Times New Roman"/>
          <w:szCs w:val="32"/>
        </w:rPr>
        <w:t>”</w:t>
      </w:r>
      <w:r>
        <w:rPr>
          <w:rFonts w:ascii="Times New Roman" w:hAnsi="Times New Roman" w:cs="Times New Roman"/>
          <w:szCs w:val="32"/>
        </w:rPr>
        <w:t>网站，按要求填写报名信息表，并上传照片（本人近期免冠1寸正面证件电子照片，jpg格式，大小50KB以下）。</w:t>
      </w:r>
    </w:p>
    <w:p>
      <w:pPr>
        <w:ind w:firstLine="674" w:firstLineChars="200"/>
        <w:rPr>
          <w:rFonts w:ascii="Times New Roman" w:hAnsi="Times New Roman" w:cs="Times New Roman"/>
          <w:szCs w:val="32"/>
        </w:rPr>
      </w:pPr>
      <w:r>
        <w:rPr>
          <w:rFonts w:ascii="Times New Roman" w:hAnsi="Times New Roman" w:cs="Times New Roman"/>
          <w:szCs w:val="32"/>
        </w:rPr>
        <w:t>2.</w:t>
      </w:r>
      <w:r>
        <w:rPr>
          <w:rFonts w:hint="eastAsia" w:ascii="Times New Roman" w:hAnsi="Times New Roman" w:cs="Times New Roman"/>
          <w:szCs w:val="32"/>
        </w:rPr>
        <w:t xml:space="preserve"> </w:t>
      </w:r>
      <w:r>
        <w:rPr>
          <w:rFonts w:ascii="Times New Roman" w:hAnsi="Times New Roman" w:cs="Times New Roman"/>
          <w:szCs w:val="32"/>
        </w:rPr>
        <w:t>报名期间，</w:t>
      </w:r>
      <w:r>
        <w:rPr>
          <w:rFonts w:hint="eastAsia" w:ascii="Times New Roman" w:hAnsi="Times New Roman" w:cs="Times New Roman"/>
          <w:szCs w:val="32"/>
        </w:rPr>
        <w:t>辽宁省</w:t>
      </w:r>
      <w:r>
        <w:rPr>
          <w:rFonts w:ascii="Times New Roman" w:hAnsi="Times New Roman" w:cs="Times New Roman"/>
          <w:szCs w:val="32"/>
        </w:rPr>
        <w:t>交投集团将对报考人员提交的信息进行资格审查。报考人员可于2019年4月29日至5月8日登录</w:t>
      </w:r>
      <w:r>
        <w:rPr>
          <w:rFonts w:hint="eastAsia" w:ascii="Times New Roman" w:hAnsi="Times New Roman" w:cs="Times New Roman"/>
          <w:szCs w:val="32"/>
        </w:rPr>
        <w:t>“</w:t>
      </w:r>
      <w:r>
        <w:rPr>
          <w:rFonts w:ascii="Times New Roman" w:hAnsi="Times New Roman" w:cs="Times New Roman"/>
          <w:szCs w:val="32"/>
        </w:rPr>
        <w:t>辽宁省交投集团</w:t>
      </w:r>
      <w:r>
        <w:rPr>
          <w:rFonts w:hint="eastAsia" w:ascii="Times New Roman" w:hAnsi="Times New Roman" w:cs="Times New Roman"/>
          <w:szCs w:val="32"/>
        </w:rPr>
        <w:t>”</w:t>
      </w:r>
      <w:r>
        <w:rPr>
          <w:rFonts w:ascii="Times New Roman" w:hAnsi="Times New Roman" w:cs="Times New Roman"/>
          <w:szCs w:val="32"/>
        </w:rPr>
        <w:t>网站查询审查结果。如招聘岗位与应聘人员比例达不到1:2，视为该岗位不能形成有效竞争，将取消该岗位的招聘。为提高招聘工作效率，辽宁省交投集团有权根据报名情况，决定是否采取按照一定比例（不低于1:15）择优选择确定笔试人选。</w:t>
      </w:r>
    </w:p>
    <w:p>
      <w:pPr>
        <w:pStyle w:val="9"/>
        <w:spacing w:before="0" w:beforeAutospacing="0" w:after="0" w:afterAutospacing="0"/>
        <w:ind w:firstLine="674"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3.</w:t>
      </w:r>
      <w:r>
        <w:rPr>
          <w:rFonts w:hint="eastAsia" w:ascii="Times New Roman" w:hAnsi="Times New Roman" w:eastAsia="仿宋_GB2312" w:cs="Times New Roman"/>
          <w:kern w:val="2"/>
          <w:sz w:val="32"/>
          <w:szCs w:val="32"/>
        </w:rPr>
        <w:t xml:space="preserve"> </w:t>
      </w:r>
      <w:r>
        <w:rPr>
          <w:rFonts w:ascii="Times New Roman" w:hAnsi="Times New Roman" w:eastAsia="仿宋_GB2312" w:cs="Times New Roman"/>
          <w:kern w:val="2"/>
          <w:sz w:val="32"/>
          <w:szCs w:val="32"/>
        </w:rPr>
        <w:t>每名考生只能报考一个招考岗位。报考人员报名与考试时使用的身份证必须一致。</w:t>
      </w:r>
    </w:p>
    <w:p>
      <w:pPr>
        <w:pStyle w:val="9"/>
        <w:spacing w:before="0" w:beforeAutospacing="0" w:after="0" w:afterAutospacing="0"/>
        <w:ind w:firstLine="674"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4.</w:t>
      </w:r>
      <w:r>
        <w:rPr>
          <w:rFonts w:hint="eastAsia" w:ascii="Times New Roman" w:hAnsi="Times New Roman" w:eastAsia="仿宋_GB2312" w:cs="Times New Roman"/>
          <w:kern w:val="2"/>
          <w:sz w:val="32"/>
          <w:szCs w:val="32"/>
        </w:rPr>
        <w:t xml:space="preserve"> </w:t>
      </w:r>
      <w:r>
        <w:rPr>
          <w:rFonts w:ascii="Times New Roman" w:hAnsi="Times New Roman" w:eastAsia="仿宋_GB2312" w:cs="Times New Roman"/>
          <w:kern w:val="2"/>
          <w:sz w:val="32"/>
          <w:szCs w:val="32"/>
        </w:rPr>
        <w:t>报名实行诚信承诺制。考生报名时，</w:t>
      </w:r>
      <w:r>
        <w:rPr>
          <w:rFonts w:hint="eastAsia" w:ascii="Times New Roman" w:hAnsi="Times New Roman" w:eastAsia="仿宋_GB2312" w:cs="Times New Roman"/>
          <w:kern w:val="2"/>
          <w:sz w:val="32"/>
          <w:szCs w:val="32"/>
        </w:rPr>
        <w:t>须</w:t>
      </w:r>
      <w:r>
        <w:rPr>
          <w:rFonts w:ascii="Times New Roman" w:hAnsi="Times New Roman" w:eastAsia="仿宋_GB2312" w:cs="Times New Roman"/>
          <w:kern w:val="2"/>
          <w:sz w:val="32"/>
          <w:szCs w:val="32"/>
        </w:rPr>
        <w:t>如实提交有关信息，凡弄虚作假或与招考岗位要求资格条件不符的，在面试前的资格审查和录用手续办理时一经查实，一律取消录用资格。</w:t>
      </w:r>
    </w:p>
    <w:p>
      <w:pPr>
        <w:widowControl/>
        <w:ind w:firstLine="674" w:firstLineChars="200"/>
        <w:rPr>
          <w:rFonts w:ascii="Times New Roman" w:hAnsi="Times New Roman" w:cs="Times New Roman"/>
          <w:szCs w:val="32"/>
        </w:rPr>
      </w:pPr>
      <w:r>
        <w:rPr>
          <w:rFonts w:ascii="Times New Roman" w:hAnsi="Times New Roman" w:cs="Times New Roman"/>
          <w:szCs w:val="32"/>
        </w:rPr>
        <w:t>5.</w:t>
      </w:r>
      <w:r>
        <w:rPr>
          <w:rFonts w:hint="eastAsia" w:ascii="Times New Roman" w:hAnsi="Times New Roman" w:cs="Times New Roman"/>
          <w:szCs w:val="32"/>
        </w:rPr>
        <w:t xml:space="preserve"> </w:t>
      </w:r>
      <w:r>
        <w:rPr>
          <w:rFonts w:ascii="Times New Roman" w:hAnsi="Times New Roman" w:cs="Times New Roman"/>
          <w:szCs w:val="32"/>
        </w:rPr>
        <w:t>网上打印准考证。通过资格审查的报考人员，于2019年5月10日12时前登录</w:t>
      </w:r>
      <w:r>
        <w:rPr>
          <w:rFonts w:hint="eastAsia" w:ascii="Times New Roman" w:hAnsi="Times New Roman" w:cs="Times New Roman"/>
          <w:szCs w:val="32"/>
        </w:rPr>
        <w:t>“</w:t>
      </w:r>
      <w:r>
        <w:rPr>
          <w:rFonts w:ascii="Times New Roman" w:hAnsi="Times New Roman" w:cs="Times New Roman"/>
          <w:szCs w:val="32"/>
        </w:rPr>
        <w:t>辽宁省交投集团</w:t>
      </w:r>
      <w:r>
        <w:rPr>
          <w:rFonts w:hint="eastAsia" w:ascii="Times New Roman" w:hAnsi="Times New Roman" w:cs="Times New Roman"/>
          <w:szCs w:val="32"/>
        </w:rPr>
        <w:t>”</w:t>
      </w:r>
      <w:r>
        <w:rPr>
          <w:rFonts w:ascii="Times New Roman" w:hAnsi="Times New Roman" w:cs="Times New Roman"/>
          <w:szCs w:val="32"/>
        </w:rPr>
        <w:t>网站下载并打印准考证（A4纸）。</w:t>
      </w:r>
    </w:p>
    <w:p>
      <w:pPr>
        <w:ind w:firstLine="674" w:firstLineChars="200"/>
        <w:rPr>
          <w:rFonts w:ascii="楷体_GB2312" w:hAnsi="Times New Roman" w:eastAsia="楷体_GB2312" w:cs="Times New Roman"/>
          <w:szCs w:val="32"/>
        </w:rPr>
      </w:pPr>
      <w:r>
        <w:rPr>
          <w:rFonts w:ascii="楷体_GB2312" w:hAnsi="Times New Roman" w:eastAsia="楷体_GB2312" w:cs="Times New Roman"/>
          <w:szCs w:val="32"/>
        </w:rPr>
        <w:t>（三）笔试</w:t>
      </w:r>
    </w:p>
    <w:p>
      <w:pPr>
        <w:ind w:firstLine="674" w:firstLineChars="200"/>
        <w:rPr>
          <w:rFonts w:ascii="Times New Roman" w:hAnsi="Times New Roman" w:cs="Times New Roman"/>
          <w:b/>
          <w:szCs w:val="32"/>
        </w:rPr>
      </w:pPr>
      <w:r>
        <w:rPr>
          <w:rFonts w:ascii="Times New Roman" w:hAnsi="Times New Roman" w:cs="Times New Roman"/>
          <w:b/>
          <w:szCs w:val="32"/>
        </w:rPr>
        <w:t>1.</w:t>
      </w:r>
      <w:r>
        <w:rPr>
          <w:rFonts w:hint="eastAsia" w:ascii="Times New Roman" w:hAnsi="Times New Roman" w:cs="Times New Roman"/>
          <w:b/>
          <w:szCs w:val="32"/>
        </w:rPr>
        <w:t xml:space="preserve"> </w:t>
      </w:r>
      <w:r>
        <w:rPr>
          <w:rFonts w:ascii="Times New Roman" w:hAnsi="Times New Roman" w:cs="Times New Roman"/>
          <w:b/>
          <w:szCs w:val="32"/>
        </w:rPr>
        <w:t>笔试内容</w:t>
      </w:r>
    </w:p>
    <w:p>
      <w:pPr>
        <w:ind w:firstLine="674" w:firstLineChars="200"/>
        <w:rPr>
          <w:rFonts w:ascii="Times New Roman" w:hAnsi="Times New Roman" w:cs="Times New Roman"/>
          <w:szCs w:val="32"/>
        </w:rPr>
      </w:pPr>
      <w:r>
        <w:rPr>
          <w:rFonts w:ascii="Times New Roman" w:hAnsi="Times New Roman" w:cs="Times New Roman"/>
          <w:szCs w:val="32"/>
        </w:rPr>
        <w:t>笔试包括行政职业能力测验和申论两科。其中：报考</w:t>
      </w:r>
      <w:r>
        <w:rPr>
          <w:rFonts w:ascii="Times New Roman" w:hAnsi="仿宋_GB2312" w:cs="Times New Roman"/>
          <w:szCs w:val="32"/>
        </w:rPr>
        <w:t>辽宁省</w:t>
      </w:r>
      <w:r>
        <w:rPr>
          <w:rFonts w:ascii="Times New Roman" w:hAnsi="Times New Roman" w:cs="Times New Roman"/>
          <w:szCs w:val="32"/>
        </w:rPr>
        <w:t>交投集团总部岗位和科研院党宣专员岗位人员须参加行政职业能力测验和申论两科考试，笔试成绩按照行政职业能力测验和申论成绩4:6的权重，计算应聘人员最终得分。报考</w:t>
      </w:r>
      <w:r>
        <w:rPr>
          <w:rFonts w:ascii="Times New Roman" w:hAnsi="仿宋_GB2312" w:cs="Times New Roman"/>
          <w:szCs w:val="32"/>
        </w:rPr>
        <w:t>辽宁省</w:t>
      </w:r>
      <w:r>
        <w:rPr>
          <w:rFonts w:ascii="Times New Roman" w:hAnsi="Times New Roman" w:cs="Times New Roman"/>
          <w:szCs w:val="32"/>
        </w:rPr>
        <w:t>交投集团下属企业其他岗位人员只需参加行政职业能力测验考试。</w:t>
      </w:r>
    </w:p>
    <w:p>
      <w:pPr>
        <w:ind w:firstLine="674" w:firstLineChars="200"/>
        <w:rPr>
          <w:rFonts w:ascii="Times New Roman" w:hAnsi="Times New Roman" w:cs="Times New Roman"/>
          <w:b/>
          <w:szCs w:val="32"/>
        </w:rPr>
      </w:pPr>
      <w:r>
        <w:rPr>
          <w:rFonts w:ascii="Times New Roman" w:hAnsi="Times New Roman" w:cs="Times New Roman"/>
          <w:b/>
          <w:szCs w:val="32"/>
        </w:rPr>
        <w:t>2.</w:t>
      </w:r>
      <w:r>
        <w:rPr>
          <w:rFonts w:hint="eastAsia" w:ascii="Times New Roman" w:hAnsi="Times New Roman" w:cs="Times New Roman"/>
          <w:b/>
          <w:szCs w:val="32"/>
        </w:rPr>
        <w:t xml:space="preserve"> </w:t>
      </w:r>
      <w:r>
        <w:rPr>
          <w:rFonts w:ascii="Times New Roman" w:hAnsi="Times New Roman" w:cs="Times New Roman"/>
          <w:b/>
          <w:szCs w:val="32"/>
        </w:rPr>
        <w:t>笔试时间和地点</w:t>
      </w:r>
    </w:p>
    <w:p>
      <w:pPr>
        <w:ind w:firstLine="674" w:firstLineChars="200"/>
        <w:rPr>
          <w:rFonts w:ascii="Times New Roman" w:hAnsi="Times New Roman" w:cs="Times New Roman"/>
          <w:szCs w:val="32"/>
        </w:rPr>
      </w:pPr>
      <w:r>
        <w:rPr>
          <w:rFonts w:ascii="Times New Roman" w:hAnsi="Times New Roman" w:cs="Times New Roman"/>
          <w:szCs w:val="32"/>
        </w:rPr>
        <w:t>报考人员按照准考证上确定的时间和地点参加考试。监考人员依据报考人员准考证、身份证和考场座次表，核验报考人员身份信息，实施监考。</w:t>
      </w:r>
    </w:p>
    <w:p>
      <w:pPr>
        <w:ind w:firstLine="674" w:firstLineChars="200"/>
        <w:rPr>
          <w:rFonts w:ascii="Times New Roman" w:hAnsi="Times New Roman" w:cs="Times New Roman"/>
          <w:b/>
          <w:szCs w:val="32"/>
        </w:rPr>
      </w:pPr>
      <w:r>
        <w:rPr>
          <w:rFonts w:ascii="Times New Roman" w:hAnsi="Times New Roman" w:cs="Times New Roman"/>
          <w:b/>
          <w:szCs w:val="32"/>
        </w:rPr>
        <w:t>3.</w:t>
      </w:r>
      <w:r>
        <w:rPr>
          <w:rFonts w:hint="eastAsia" w:ascii="Times New Roman" w:hAnsi="Times New Roman" w:cs="Times New Roman"/>
          <w:b/>
          <w:szCs w:val="32"/>
        </w:rPr>
        <w:t xml:space="preserve"> </w:t>
      </w:r>
      <w:r>
        <w:rPr>
          <w:rFonts w:ascii="Times New Roman" w:hAnsi="Times New Roman" w:cs="Times New Roman"/>
          <w:b/>
          <w:szCs w:val="32"/>
        </w:rPr>
        <w:t>分数线确定和成绩查询</w:t>
      </w:r>
    </w:p>
    <w:p>
      <w:pPr>
        <w:widowControl/>
        <w:ind w:firstLine="674" w:firstLineChars="200"/>
        <w:rPr>
          <w:rFonts w:ascii="Times New Roman" w:hAnsi="Times New Roman" w:cs="Times New Roman"/>
          <w:szCs w:val="32"/>
        </w:rPr>
      </w:pPr>
      <w:r>
        <w:rPr>
          <w:rFonts w:ascii="Times New Roman" w:hAnsi="Times New Roman" w:cs="Times New Roman"/>
          <w:szCs w:val="32"/>
        </w:rPr>
        <w:t>笔试阅卷结束后，辽宁省交投集团根据成绩汇总分析，分岗位确定最低合格分数线。在超过笔试合格分数线人员中，根据笔试成绩由高到低排序，按照1:5的比例确定参加各岗位面试人选。最后一名面试人选的笔试成绩如出现并列者，同时参加面试。考生笔试成绩通过辽宁省交投集团网站查询。</w:t>
      </w:r>
    </w:p>
    <w:p>
      <w:pPr>
        <w:ind w:firstLine="674" w:firstLineChars="200"/>
        <w:rPr>
          <w:rFonts w:ascii="楷体_GB2312" w:hAnsi="Times New Roman" w:eastAsia="楷体_GB2312" w:cs="Times New Roman"/>
          <w:szCs w:val="32"/>
        </w:rPr>
      </w:pPr>
      <w:r>
        <w:rPr>
          <w:rFonts w:ascii="楷体_GB2312" w:hAnsi="Times New Roman" w:eastAsia="楷体_GB2312" w:cs="Times New Roman"/>
          <w:szCs w:val="32"/>
        </w:rPr>
        <w:t>（四）资格现场审查</w:t>
      </w:r>
    </w:p>
    <w:p>
      <w:pPr>
        <w:ind w:firstLine="674" w:firstLineChars="200"/>
        <w:rPr>
          <w:rFonts w:ascii="Times New Roman" w:hAnsi="Times New Roman" w:cs="Times New Roman"/>
          <w:szCs w:val="32"/>
        </w:rPr>
      </w:pPr>
      <w:r>
        <w:rPr>
          <w:rFonts w:ascii="Times New Roman" w:hAnsi="Times New Roman" w:cs="Times New Roman"/>
          <w:szCs w:val="32"/>
        </w:rPr>
        <w:t>由</w:t>
      </w:r>
      <w:r>
        <w:rPr>
          <w:rFonts w:ascii="Times New Roman" w:hAnsi="仿宋_GB2312" w:cs="Times New Roman"/>
          <w:szCs w:val="32"/>
        </w:rPr>
        <w:t>辽宁省</w:t>
      </w:r>
      <w:r>
        <w:rPr>
          <w:rFonts w:ascii="Times New Roman" w:hAnsi="Times New Roman" w:cs="Times New Roman"/>
          <w:szCs w:val="32"/>
        </w:rPr>
        <w:t>交投集团对进入面试范围人员进行资格现场审查。对报考者本人及其身份证件（身份证、学生证、工作证等）原件、毕业证（学位证）原件、职称证（职业资格证）原件、报名信息表等材料进行现场审查。对因资格现场审查不合格导致岗位出现空缺的，从笔试成绩合格人员中按照从高分到低分的顺序依次递补。</w:t>
      </w:r>
    </w:p>
    <w:p>
      <w:pPr>
        <w:ind w:firstLine="674" w:firstLineChars="200"/>
        <w:rPr>
          <w:rFonts w:ascii="楷体_GB2312" w:hAnsi="Times New Roman" w:eastAsia="楷体_GB2312" w:cs="Times New Roman"/>
          <w:szCs w:val="32"/>
        </w:rPr>
      </w:pPr>
      <w:r>
        <w:rPr>
          <w:rFonts w:ascii="楷体_GB2312" w:hAnsi="Times New Roman" w:eastAsia="楷体_GB2312" w:cs="Times New Roman"/>
          <w:szCs w:val="32"/>
        </w:rPr>
        <w:t>（五）岗位胜任力测评</w:t>
      </w:r>
    </w:p>
    <w:p>
      <w:pPr>
        <w:ind w:firstLine="674" w:firstLineChars="200"/>
        <w:rPr>
          <w:rFonts w:ascii="Times New Roman" w:hAnsi="Times New Roman" w:cs="Times New Roman"/>
          <w:szCs w:val="32"/>
        </w:rPr>
      </w:pPr>
      <w:r>
        <w:rPr>
          <w:rFonts w:ascii="Times New Roman" w:hAnsi="Times New Roman" w:cs="Times New Roman"/>
          <w:szCs w:val="32"/>
        </w:rPr>
        <w:t>对进入辽宁省交投集团总部岗位面试的人员，开展岗位胜任力测评，测评结果按权重计入招考成绩。</w:t>
      </w:r>
    </w:p>
    <w:p>
      <w:pPr>
        <w:ind w:firstLine="674" w:firstLineChars="200"/>
        <w:rPr>
          <w:rFonts w:ascii="楷体_GB2312" w:hAnsi="Times New Roman" w:eastAsia="楷体_GB2312" w:cs="Times New Roman"/>
          <w:szCs w:val="32"/>
        </w:rPr>
      </w:pPr>
      <w:r>
        <w:rPr>
          <w:rFonts w:ascii="楷体_GB2312" w:hAnsi="Times New Roman" w:eastAsia="楷体_GB2312" w:cs="Times New Roman"/>
          <w:szCs w:val="32"/>
        </w:rPr>
        <w:t>（六）专业知识考试</w:t>
      </w:r>
    </w:p>
    <w:p>
      <w:pPr>
        <w:ind w:firstLine="674" w:firstLineChars="200"/>
        <w:rPr>
          <w:rFonts w:ascii="Times New Roman" w:hAnsi="Times New Roman" w:cs="Times New Roman"/>
          <w:szCs w:val="32"/>
        </w:rPr>
      </w:pPr>
      <w:r>
        <w:rPr>
          <w:rFonts w:ascii="Times New Roman" w:hAnsi="Times New Roman" w:cs="Times New Roman"/>
          <w:szCs w:val="32"/>
        </w:rPr>
        <w:t>对进入辽宁省交投集团总部财务、审计、法务相关岗位的面试人员，加考专业知识考试，考试结果按权重计入招考成绩。</w:t>
      </w:r>
    </w:p>
    <w:p>
      <w:pPr>
        <w:numPr>
          <w:ilvl w:val="255"/>
          <w:numId w:val="0"/>
        </w:numPr>
        <w:ind w:firstLine="674" w:firstLineChars="200"/>
        <w:rPr>
          <w:rFonts w:ascii="楷体_GB2312" w:hAnsi="Times New Roman" w:eastAsia="楷体_GB2312" w:cs="Times New Roman"/>
          <w:szCs w:val="32"/>
        </w:rPr>
      </w:pPr>
      <w:r>
        <w:rPr>
          <w:rFonts w:ascii="楷体_GB2312" w:hAnsi="Times New Roman" w:eastAsia="楷体_GB2312" w:cs="Times New Roman"/>
          <w:szCs w:val="32"/>
        </w:rPr>
        <w:t>（七）面试</w:t>
      </w:r>
    </w:p>
    <w:p>
      <w:pPr>
        <w:ind w:firstLine="674" w:firstLineChars="200"/>
        <w:rPr>
          <w:rFonts w:ascii="Times New Roman" w:hAnsi="Times New Roman" w:cs="Times New Roman"/>
          <w:szCs w:val="32"/>
        </w:rPr>
      </w:pPr>
      <w:r>
        <w:rPr>
          <w:rFonts w:ascii="Times New Roman" w:hAnsi="仿宋_GB2312" w:cs="Times New Roman"/>
          <w:szCs w:val="32"/>
        </w:rPr>
        <w:t>辽宁省交投</w:t>
      </w:r>
      <w:r>
        <w:rPr>
          <w:rFonts w:ascii="Times New Roman" w:hAnsi="Times New Roman" w:cs="Times New Roman"/>
          <w:szCs w:val="32"/>
        </w:rPr>
        <w:t>集团及下属企业将根据招聘岗位的不同特点组织开展面试工作，面试后，岗位出现空缺的，不再进行递补。</w:t>
      </w:r>
    </w:p>
    <w:p>
      <w:pPr>
        <w:numPr>
          <w:ilvl w:val="255"/>
          <w:numId w:val="0"/>
        </w:numPr>
        <w:ind w:firstLine="674" w:firstLineChars="200"/>
        <w:rPr>
          <w:rFonts w:ascii="楷体_GB2312" w:hAnsi="Times New Roman" w:eastAsia="楷体_GB2312" w:cs="Times New Roman"/>
          <w:szCs w:val="32"/>
        </w:rPr>
      </w:pPr>
      <w:r>
        <w:rPr>
          <w:rFonts w:ascii="楷体_GB2312" w:hAnsi="Times New Roman" w:eastAsia="楷体_GB2312" w:cs="Times New Roman"/>
          <w:szCs w:val="32"/>
        </w:rPr>
        <w:t>（八）拟聘人选的确定</w:t>
      </w:r>
    </w:p>
    <w:p>
      <w:pPr>
        <w:ind w:firstLine="674" w:firstLineChars="200"/>
        <w:rPr>
          <w:rFonts w:ascii="Times New Roman" w:hAnsi="Times New Roman" w:cs="Times New Roman"/>
          <w:szCs w:val="32"/>
        </w:rPr>
      </w:pPr>
      <w:r>
        <w:rPr>
          <w:rFonts w:ascii="Times New Roman" w:hAnsi="仿宋_GB2312" w:cs="Times New Roman"/>
          <w:szCs w:val="32"/>
        </w:rPr>
        <w:t>辽宁省</w:t>
      </w:r>
      <w:r>
        <w:rPr>
          <w:rFonts w:ascii="Times New Roman" w:hAnsi="Times New Roman" w:cs="Times New Roman"/>
          <w:szCs w:val="32"/>
        </w:rPr>
        <w:t>交投集团总部招聘岗位按照笔试、岗位胜任力测评、面试成绩4:2:4的权重，计算应聘人员最终得分（加考专业知识考试的岗位，按照笔试、岗位胜任力测评、专业知识、面试成绩3:1:3:3的权重，计算应聘人员最终得分）；</w:t>
      </w:r>
      <w:r>
        <w:rPr>
          <w:rFonts w:ascii="Times New Roman" w:hAnsi="仿宋_GB2312" w:cs="Times New Roman"/>
          <w:szCs w:val="32"/>
        </w:rPr>
        <w:t>辽宁省</w:t>
      </w:r>
      <w:r>
        <w:rPr>
          <w:rFonts w:ascii="Times New Roman" w:hAnsi="Times New Roman" w:cs="Times New Roman"/>
          <w:szCs w:val="32"/>
        </w:rPr>
        <w:t>交投集团下属企业招聘岗位按照笔试、面试5:5的权重计算应聘人员最终得分。按照最终得分由高到低排序，确定拟聘人选。</w:t>
      </w:r>
    </w:p>
    <w:p>
      <w:pPr>
        <w:ind w:firstLine="674" w:firstLineChars="200"/>
        <w:rPr>
          <w:rFonts w:ascii="Times New Roman" w:hAnsi="Times New Roman" w:cs="Times New Roman"/>
          <w:szCs w:val="32"/>
        </w:rPr>
      </w:pPr>
      <w:r>
        <w:rPr>
          <w:rFonts w:ascii="楷体_GB2312" w:hAnsi="Times New Roman" w:eastAsia="楷体_GB2312" w:cs="Times New Roman"/>
          <w:szCs w:val="32"/>
        </w:rPr>
        <w:t>（九）政审考核。</w:t>
      </w:r>
      <w:r>
        <w:rPr>
          <w:rFonts w:ascii="Times New Roman" w:hAnsi="Times New Roman" w:cs="Times New Roman"/>
          <w:szCs w:val="32"/>
        </w:rPr>
        <w:t>拟聘用人选确定后，由</w:t>
      </w:r>
      <w:r>
        <w:rPr>
          <w:rFonts w:ascii="Times New Roman" w:hAnsi="仿宋_GB2312" w:cs="Times New Roman"/>
          <w:szCs w:val="32"/>
        </w:rPr>
        <w:t>辽宁省</w:t>
      </w:r>
      <w:r>
        <w:rPr>
          <w:rFonts w:ascii="Times New Roman" w:hAnsi="Times New Roman" w:cs="Times New Roman"/>
          <w:szCs w:val="32"/>
        </w:rPr>
        <w:t>交投集团对拟聘人选进行资格复审及政审考核。拟聘人员需提供原单位出具的盖有公章的现实表现材料或公安机关出具的无违法记录证明。</w:t>
      </w:r>
    </w:p>
    <w:p>
      <w:pPr>
        <w:ind w:firstLine="674" w:firstLineChars="200"/>
        <w:rPr>
          <w:rFonts w:ascii="Times New Roman" w:hAnsi="Times New Roman" w:cs="Times New Roman"/>
          <w:szCs w:val="32"/>
        </w:rPr>
      </w:pPr>
      <w:r>
        <w:rPr>
          <w:rFonts w:ascii="Times New Roman" w:hAnsi="Times New Roman" w:cs="Times New Roman"/>
          <w:szCs w:val="32"/>
        </w:rPr>
        <w:t>通过资格审查及政审考核的</w:t>
      </w:r>
      <w:r>
        <w:rPr>
          <w:rFonts w:ascii="Times New Roman" w:hAnsi="仿宋_GB2312" w:cs="Times New Roman"/>
          <w:szCs w:val="32"/>
        </w:rPr>
        <w:t>辽宁省</w:t>
      </w:r>
      <w:r>
        <w:rPr>
          <w:rFonts w:ascii="Times New Roman" w:hAnsi="Times New Roman" w:cs="Times New Roman"/>
          <w:szCs w:val="32"/>
        </w:rPr>
        <w:t>交投集团总部部长、副部长岗位拟聘人员，经</w:t>
      </w:r>
      <w:r>
        <w:rPr>
          <w:rFonts w:hint="eastAsia" w:ascii="Times New Roman" w:hAnsi="Times New Roman" w:cs="Times New Roman"/>
          <w:szCs w:val="32"/>
        </w:rPr>
        <w:t>辽宁省交投</w:t>
      </w:r>
      <w:r>
        <w:rPr>
          <w:rFonts w:ascii="Times New Roman" w:hAnsi="Times New Roman" w:cs="Times New Roman"/>
          <w:szCs w:val="32"/>
        </w:rPr>
        <w:t>集团党委同意后，由</w:t>
      </w:r>
      <w:r>
        <w:rPr>
          <w:rFonts w:hint="eastAsia" w:ascii="Times New Roman" w:hAnsi="Times New Roman" w:cs="Times New Roman"/>
          <w:szCs w:val="32"/>
        </w:rPr>
        <w:t>辽宁省交投</w:t>
      </w:r>
      <w:r>
        <w:rPr>
          <w:rFonts w:ascii="Times New Roman" w:hAnsi="Times New Roman" w:cs="Times New Roman"/>
          <w:szCs w:val="32"/>
        </w:rPr>
        <w:t>集团党委组织部、纪检监察部启动集团领导人员选拔任用工作程序。</w:t>
      </w:r>
    </w:p>
    <w:p>
      <w:pPr>
        <w:ind w:firstLine="674" w:firstLineChars="200"/>
        <w:rPr>
          <w:rFonts w:ascii="Times New Roman" w:hAnsi="Times New Roman" w:cs="Times New Roman"/>
          <w:szCs w:val="32"/>
        </w:rPr>
      </w:pPr>
      <w:r>
        <w:rPr>
          <w:rFonts w:ascii="楷体_GB2312" w:hAnsi="Times New Roman" w:eastAsia="楷体_GB2312" w:cs="Times New Roman"/>
          <w:szCs w:val="32"/>
        </w:rPr>
        <w:t>（十）体检。</w:t>
      </w:r>
      <w:r>
        <w:rPr>
          <w:rFonts w:ascii="Times New Roman" w:hAnsi="Times New Roman" w:cs="Times New Roman"/>
          <w:szCs w:val="32"/>
        </w:rPr>
        <w:t>体检在指定医院进行，体检费用自理。根据需要，考核与体检环节的先后次序可以进行适当调整。</w:t>
      </w:r>
    </w:p>
    <w:p>
      <w:pPr>
        <w:ind w:firstLine="674" w:firstLineChars="200"/>
        <w:rPr>
          <w:rFonts w:ascii="Times New Roman" w:hAnsi="Times New Roman" w:cs="Times New Roman"/>
          <w:szCs w:val="32"/>
        </w:rPr>
      </w:pPr>
      <w:r>
        <w:rPr>
          <w:rFonts w:ascii="楷体_GB2312" w:hAnsi="Times New Roman" w:eastAsia="楷体_GB2312" w:cs="Times New Roman"/>
          <w:szCs w:val="32"/>
        </w:rPr>
        <w:t>（十一）公示。</w:t>
      </w:r>
      <w:r>
        <w:rPr>
          <w:rFonts w:ascii="Times New Roman" w:hAnsi="Times New Roman" w:cs="Times New Roman"/>
          <w:szCs w:val="32"/>
        </w:rPr>
        <w:t>拟录用人选确定后，在辽宁省交投集团网站进行公示，公示期为5个工作日。</w:t>
      </w:r>
    </w:p>
    <w:p>
      <w:pPr>
        <w:ind w:firstLine="674" w:firstLineChars="200"/>
        <w:rPr>
          <w:rFonts w:ascii="Times New Roman" w:hAnsi="Times New Roman" w:eastAsia="黑体" w:cs="Times New Roman"/>
          <w:szCs w:val="32"/>
        </w:rPr>
      </w:pPr>
      <w:r>
        <w:rPr>
          <w:rFonts w:ascii="Times New Roman" w:hAnsi="黑体" w:eastAsia="黑体" w:cs="Times New Roman"/>
          <w:szCs w:val="32"/>
        </w:rPr>
        <w:t>四、薪酬待遇</w:t>
      </w:r>
    </w:p>
    <w:p>
      <w:pPr>
        <w:ind w:firstLine="674" w:firstLineChars="200"/>
        <w:rPr>
          <w:rFonts w:ascii="Times New Roman" w:hAnsi="Times New Roman" w:cs="Times New Roman"/>
          <w:szCs w:val="32"/>
        </w:rPr>
      </w:pPr>
      <w:r>
        <w:rPr>
          <w:rFonts w:ascii="Times New Roman" w:hAnsi="仿宋_GB2312" w:cs="Times New Roman"/>
          <w:szCs w:val="32"/>
        </w:rPr>
        <w:t>辽宁省交投集团为聘用的员工提供具有竞争力的薪酬待遇，同时还提供通信补贴、健康体检补贴、取暖费补贴、全额六险二金（</w:t>
      </w:r>
      <w:r>
        <w:rPr>
          <w:rFonts w:hint="eastAsia" w:ascii="Times New Roman" w:hAnsi="仿宋_GB2312" w:cs="Times New Roman"/>
          <w:szCs w:val="32"/>
          <w:lang w:val="en-US" w:eastAsia="zh-CN"/>
        </w:rPr>
        <w:t>五险一金、</w:t>
      </w:r>
      <w:r>
        <w:rPr>
          <w:rFonts w:ascii="Times New Roman" w:hAnsi="仿宋_GB2312" w:cs="Times New Roman"/>
          <w:szCs w:val="32"/>
        </w:rPr>
        <w:t>补充医疗保险、企业年金）、带薪年休假、工作餐、节日关怀等丰厚的福利待遇。</w:t>
      </w:r>
    </w:p>
    <w:p>
      <w:pPr>
        <w:ind w:firstLine="674" w:firstLineChars="200"/>
        <w:rPr>
          <w:rFonts w:ascii="Times New Roman" w:hAnsi="Times New Roman" w:eastAsia="黑体" w:cs="Times New Roman"/>
          <w:szCs w:val="32"/>
        </w:rPr>
      </w:pPr>
      <w:r>
        <w:rPr>
          <w:rFonts w:ascii="Times New Roman" w:hAnsi="黑体" w:eastAsia="黑体" w:cs="Times New Roman"/>
          <w:szCs w:val="32"/>
        </w:rPr>
        <w:t>五、注意事项</w:t>
      </w:r>
    </w:p>
    <w:p>
      <w:pPr>
        <w:ind w:firstLine="674" w:firstLineChars="200"/>
        <w:rPr>
          <w:rFonts w:ascii="Times New Roman" w:hAnsi="Times New Roman" w:cs="Times New Roman"/>
          <w:szCs w:val="32"/>
        </w:rPr>
      </w:pPr>
      <w:r>
        <w:rPr>
          <w:rFonts w:hint="eastAsia" w:ascii="Times New Roman" w:hAnsi="Times New Roman" w:cs="Times New Roman"/>
          <w:szCs w:val="32"/>
        </w:rPr>
        <w:t>（一）</w:t>
      </w:r>
      <w:r>
        <w:rPr>
          <w:rFonts w:ascii="Times New Roman" w:hAnsi="Times New Roman" w:cs="Times New Roman"/>
          <w:szCs w:val="32"/>
        </w:rPr>
        <w:t>各岗位考务咨询电话请见岗位信息表。</w:t>
      </w:r>
    </w:p>
    <w:p>
      <w:pPr>
        <w:ind w:firstLine="674" w:firstLineChars="200"/>
        <w:rPr>
          <w:rFonts w:ascii="Times New Roman" w:hAnsi="Times New Roman" w:cs="Times New Roman"/>
          <w:szCs w:val="32"/>
        </w:rPr>
      </w:pPr>
      <w:r>
        <w:rPr>
          <w:rFonts w:ascii="Times New Roman" w:hAnsi="Times New Roman" w:cs="Times New Roman"/>
          <w:szCs w:val="32"/>
        </w:rPr>
        <w:t>报考网络技术咨询电话：024</w:t>
      </w:r>
      <w:r>
        <w:rPr>
          <w:rFonts w:hint="eastAsia" w:ascii="Times New Roman" w:hAnsi="Times New Roman" w:cs="Times New Roman"/>
          <w:szCs w:val="32"/>
        </w:rPr>
        <w:t>—</w:t>
      </w:r>
      <w:r>
        <w:rPr>
          <w:rFonts w:ascii="Times New Roman" w:hAnsi="Times New Roman" w:cs="Times New Roman"/>
          <w:szCs w:val="32"/>
        </w:rPr>
        <w:t>24506840</w:t>
      </w:r>
    </w:p>
    <w:p>
      <w:pPr>
        <w:ind w:firstLine="674" w:firstLineChars="200"/>
        <w:rPr>
          <w:rFonts w:ascii="Times New Roman" w:hAnsi="Times New Roman" w:cs="Times New Roman"/>
          <w:szCs w:val="32"/>
        </w:rPr>
      </w:pPr>
      <w:r>
        <w:rPr>
          <w:rFonts w:ascii="Times New Roman" w:hAnsi="Times New Roman" w:cs="Times New Roman"/>
          <w:szCs w:val="32"/>
        </w:rPr>
        <w:t>接受咨询的时间为报考期间，工作日8时30分—17时。</w:t>
      </w:r>
    </w:p>
    <w:p>
      <w:pPr>
        <w:ind w:firstLine="674" w:firstLineChars="200"/>
        <w:rPr>
          <w:rFonts w:ascii="Times New Roman" w:hAnsi="Times New Roman" w:cs="Times New Roman"/>
          <w:szCs w:val="32"/>
        </w:rPr>
      </w:pPr>
      <w:r>
        <w:rPr>
          <w:rFonts w:hint="eastAsia" w:ascii="Times New Roman" w:hAnsi="Times New Roman" w:cs="Times New Roman"/>
          <w:szCs w:val="32"/>
        </w:rPr>
        <w:t>（二）</w:t>
      </w:r>
      <w:r>
        <w:rPr>
          <w:rFonts w:ascii="Times New Roman" w:hAnsi="Times New Roman" w:cs="Times New Roman"/>
          <w:szCs w:val="32"/>
        </w:rPr>
        <w:t>本次考试不收取任何费用，不指定考试辅导用书，不举办也不委托任何机构举办考试辅导培训班。</w:t>
      </w:r>
    </w:p>
    <w:p>
      <w:pPr>
        <w:ind w:firstLine="674" w:firstLineChars="200"/>
        <w:rPr>
          <w:rFonts w:ascii="Times New Roman" w:hAnsi="Times New Roman" w:cs="Times New Roman"/>
          <w:szCs w:val="32"/>
        </w:rPr>
      </w:pPr>
      <w:r>
        <w:rPr>
          <w:rFonts w:hint="eastAsia" w:ascii="Times New Roman" w:hAnsi="Times New Roman" w:cs="Times New Roman"/>
          <w:szCs w:val="32"/>
        </w:rPr>
        <w:t>（三）</w:t>
      </w:r>
      <w:r>
        <w:rPr>
          <w:rFonts w:ascii="Times New Roman" w:hAnsi="Times New Roman" w:cs="Times New Roman"/>
          <w:szCs w:val="32"/>
        </w:rPr>
        <w:t>已取得较高层次学历的报考人员，在报考较低学历层次要求为起点的岗位时，其较高层次学历所学专业与招聘岗位要求有所差别，但其较低层次学历所学专业符合招聘岗位专业要求的，视为符合招聘岗位所需专业条件要求。</w:t>
      </w:r>
    </w:p>
    <w:p>
      <w:pPr>
        <w:ind w:firstLine="674" w:firstLineChars="200"/>
        <w:rPr>
          <w:rFonts w:ascii="Times New Roman" w:hAnsi="Times New Roman" w:cs="Times New Roman"/>
          <w:szCs w:val="32"/>
        </w:rPr>
      </w:pPr>
      <w:r>
        <w:rPr>
          <w:rFonts w:hint="eastAsia" w:ascii="Times New Roman" w:hAnsi="Times New Roman" w:cs="Times New Roman"/>
          <w:szCs w:val="32"/>
        </w:rPr>
        <w:t>（四）</w:t>
      </w:r>
      <w:r>
        <w:rPr>
          <w:rFonts w:ascii="Times New Roman" w:hAnsi="Times New Roman" w:cs="Times New Roman"/>
          <w:szCs w:val="32"/>
        </w:rPr>
        <w:t>报考人员须自行解决与原工作单位人事劳动关系，出现纠纷由报考人员自负。</w:t>
      </w:r>
    </w:p>
    <w:p>
      <w:pPr>
        <w:ind w:firstLine="674" w:firstLineChars="200"/>
        <w:rPr>
          <w:rFonts w:ascii="Times New Roman" w:hAnsi="Times New Roman" w:cs="Times New Roman"/>
          <w:szCs w:val="32"/>
        </w:rPr>
      </w:pPr>
      <w:r>
        <w:rPr>
          <w:rFonts w:hint="eastAsia" w:ascii="Times New Roman" w:hAnsi="Times New Roman" w:cs="Times New Roman"/>
          <w:szCs w:val="32"/>
        </w:rPr>
        <w:t>（五）</w:t>
      </w:r>
      <w:r>
        <w:rPr>
          <w:rFonts w:ascii="Times New Roman" w:hAnsi="Times New Roman" w:cs="Times New Roman"/>
          <w:szCs w:val="32"/>
        </w:rPr>
        <w:t>报考人员所留联系方式应保持畅通有效，如因报考人员通信不畅而引起的信息传递问题，由报考人员本人负责。</w:t>
      </w:r>
    </w:p>
    <w:p>
      <w:pPr>
        <w:ind w:firstLine="674" w:firstLineChars="200"/>
        <w:rPr>
          <w:rFonts w:ascii="Times New Roman" w:hAnsi="Times New Roman" w:cs="Times New Roman"/>
          <w:szCs w:val="32"/>
        </w:rPr>
      </w:pPr>
      <w:r>
        <w:rPr>
          <w:rFonts w:hint="eastAsia" w:ascii="Times New Roman" w:hAnsi="Times New Roman" w:cs="Times New Roman"/>
          <w:szCs w:val="32"/>
        </w:rPr>
        <w:t>（六）</w:t>
      </w:r>
      <w:r>
        <w:rPr>
          <w:rFonts w:ascii="Times New Roman" w:hAnsi="Times New Roman" w:cs="Times New Roman"/>
          <w:szCs w:val="32"/>
        </w:rPr>
        <w:t>报考有关年限计算的截止时间为2019年7月31日。</w:t>
      </w:r>
    </w:p>
    <w:p>
      <w:pPr>
        <w:ind w:firstLine="674" w:firstLineChars="200"/>
        <w:rPr>
          <w:rFonts w:ascii="Times New Roman" w:hAnsi="Times New Roman" w:cs="Times New Roman"/>
          <w:szCs w:val="32"/>
        </w:rPr>
      </w:pPr>
      <w:r>
        <w:rPr>
          <w:rFonts w:hint="eastAsia" w:ascii="Times New Roman" w:hAnsi="Times New Roman" w:cs="Times New Roman"/>
          <w:szCs w:val="32"/>
        </w:rPr>
        <w:t>（七）</w:t>
      </w:r>
      <w:r>
        <w:rPr>
          <w:rFonts w:ascii="Times New Roman" w:hAnsi="Times New Roman" w:cs="Times New Roman"/>
          <w:szCs w:val="32"/>
        </w:rPr>
        <w:t>本着宁缺毋滥原则，在招聘过程中，如辽宁省交投集团认为某一岗位报考人员均未达到理想的聘用标准的，辽宁省交投集团有权决定取消该岗位的招聘。</w:t>
      </w:r>
    </w:p>
    <w:p>
      <w:pPr>
        <w:ind w:firstLine="674" w:firstLineChars="200"/>
        <w:rPr>
          <w:rFonts w:ascii="Times New Roman" w:hAnsi="Times New Roman" w:cs="Times New Roman"/>
          <w:szCs w:val="32"/>
        </w:rPr>
      </w:pPr>
    </w:p>
    <w:p>
      <w:pPr>
        <w:ind w:firstLine="674" w:firstLineChars="200"/>
        <w:rPr>
          <w:rFonts w:ascii="Times New Roman" w:hAnsi="Times New Roman" w:cs="Times New Roman"/>
          <w:szCs w:val="32"/>
        </w:rPr>
      </w:pPr>
    </w:p>
    <w:p>
      <w:pPr>
        <w:ind w:right="337" w:rightChars="100"/>
        <w:jc w:val="right"/>
        <w:rPr>
          <w:rFonts w:ascii="Times New Roman" w:hAnsi="Times New Roman" w:cs="Times New Roman"/>
          <w:szCs w:val="32"/>
        </w:rPr>
      </w:pPr>
      <w:r>
        <w:rPr>
          <w:rFonts w:ascii="Times New Roman" w:hAnsi="Times New Roman" w:cs="Times New Roman"/>
          <w:szCs w:val="32"/>
        </w:rPr>
        <w:t>辽宁省交通建设投资集团有限责任公司</w:t>
      </w:r>
    </w:p>
    <w:p>
      <w:pPr>
        <w:widowControl/>
        <w:ind w:left="4381" w:leftChars="1300"/>
        <w:jc w:val="left"/>
        <w:rPr>
          <w:rFonts w:ascii="Times New Roman" w:hAnsi="Times New Roman" w:eastAsia="仿宋" w:cs="Times New Roman"/>
          <w:szCs w:val="32"/>
        </w:rPr>
      </w:pPr>
      <w:r>
        <w:rPr>
          <w:rFonts w:ascii="Times New Roman" w:hAnsi="Times New Roman" w:cs="Times New Roman"/>
          <w:szCs w:val="32"/>
        </w:rPr>
        <w:t>2019年4月9日</w:t>
      </w:r>
    </w:p>
    <w:p>
      <w:pPr>
        <w:ind w:firstLine="674" w:firstLineChars="200"/>
      </w:pPr>
    </w:p>
    <w:sectPr>
      <w:footerReference r:id="rId3" w:type="default"/>
      <w:footerReference r:id="rId4" w:type="even"/>
      <w:pgSz w:w="11906" w:h="16838"/>
      <w:pgMar w:top="1701" w:right="1418" w:bottom="1701" w:left="1701" w:header="0" w:footer="851" w:gutter="0"/>
      <w:pgNumType w:fmt="numberInDash" w:start="1"/>
      <w:cols w:space="425" w:num="1"/>
      <w:docGrid w:type="linesAndChars" w:linePitch="610" w:charSpace="36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811966"/>
    </w:sdtPr>
    <w:sdtEndPr>
      <w:rPr>
        <w:rFonts w:asciiTheme="minorEastAsia" w:hAnsiTheme="minorEastAsia" w:eastAsiaTheme="minorEastAsia"/>
        <w:sz w:val="28"/>
        <w:szCs w:val="28"/>
      </w:rPr>
    </w:sdtEndPr>
    <w:sdtContent>
      <w:p>
        <w:pPr>
          <w:pStyle w:val="6"/>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9 -</w:t>
        </w:r>
        <w:r>
          <w:rPr>
            <w:rFonts w:asciiTheme="minorEastAsia" w:hAnsiTheme="minorEastAsia" w:eastAsia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312844"/>
    </w:sdtPr>
    <w:sdtEndPr>
      <w:rPr>
        <w:rFonts w:asciiTheme="minorEastAsia" w:hAnsiTheme="minorEastAsia" w:eastAsiaTheme="minorEastAsia"/>
        <w:sz w:val="28"/>
        <w:szCs w:val="28"/>
      </w:rPr>
    </w:sdtEndPr>
    <w:sdtContent>
      <w:p>
        <w:pPr>
          <w:pStyle w:val="6"/>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8 -</w:t>
        </w:r>
        <w:r>
          <w:rPr>
            <w:rFonts w:asciiTheme="minorEastAsia" w:hAnsiTheme="minorEastAsia" w:eastAsiaTheme="min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evenAndOddHeaders w:val="1"/>
  <w:drawingGridHorizontalSpacing w:val="169"/>
  <w:drawingGridVerticalSpacing w:val="3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81A42"/>
    <w:rsid w:val="000000DB"/>
    <w:rsid w:val="000035C6"/>
    <w:rsid w:val="000048B3"/>
    <w:rsid w:val="00004A70"/>
    <w:rsid w:val="00006BDE"/>
    <w:rsid w:val="000105C6"/>
    <w:rsid w:val="00020428"/>
    <w:rsid w:val="00020E10"/>
    <w:rsid w:val="000225F0"/>
    <w:rsid w:val="00022F01"/>
    <w:rsid w:val="00030FBA"/>
    <w:rsid w:val="00035BD5"/>
    <w:rsid w:val="0004621F"/>
    <w:rsid w:val="00051753"/>
    <w:rsid w:val="00057D5F"/>
    <w:rsid w:val="00062161"/>
    <w:rsid w:val="0006382C"/>
    <w:rsid w:val="000653EB"/>
    <w:rsid w:val="000769CD"/>
    <w:rsid w:val="00081CB2"/>
    <w:rsid w:val="000820C1"/>
    <w:rsid w:val="000823DC"/>
    <w:rsid w:val="0008618B"/>
    <w:rsid w:val="0008799D"/>
    <w:rsid w:val="00091D91"/>
    <w:rsid w:val="00092C6A"/>
    <w:rsid w:val="0009329A"/>
    <w:rsid w:val="0009455A"/>
    <w:rsid w:val="00097EA4"/>
    <w:rsid w:val="00097EE2"/>
    <w:rsid w:val="000B36D5"/>
    <w:rsid w:val="000B657C"/>
    <w:rsid w:val="000B6A5F"/>
    <w:rsid w:val="000C1073"/>
    <w:rsid w:val="000C441A"/>
    <w:rsid w:val="000D45B3"/>
    <w:rsid w:val="000F0D10"/>
    <w:rsid w:val="000F1AAB"/>
    <w:rsid w:val="000F4185"/>
    <w:rsid w:val="000F5B0E"/>
    <w:rsid w:val="000F7133"/>
    <w:rsid w:val="00104F7B"/>
    <w:rsid w:val="001057FA"/>
    <w:rsid w:val="00125AEE"/>
    <w:rsid w:val="001264EB"/>
    <w:rsid w:val="0013108F"/>
    <w:rsid w:val="00136BF5"/>
    <w:rsid w:val="0013703B"/>
    <w:rsid w:val="00147F80"/>
    <w:rsid w:val="00157281"/>
    <w:rsid w:val="00162EB6"/>
    <w:rsid w:val="00166CF9"/>
    <w:rsid w:val="00167666"/>
    <w:rsid w:val="00184C7B"/>
    <w:rsid w:val="00194B2D"/>
    <w:rsid w:val="001975A0"/>
    <w:rsid w:val="001A54FE"/>
    <w:rsid w:val="001A55E6"/>
    <w:rsid w:val="001A6192"/>
    <w:rsid w:val="001B088C"/>
    <w:rsid w:val="001B57E7"/>
    <w:rsid w:val="001C1371"/>
    <w:rsid w:val="001C4EF6"/>
    <w:rsid w:val="001C537D"/>
    <w:rsid w:val="001D6B90"/>
    <w:rsid w:val="001E0E35"/>
    <w:rsid w:val="001F1FEA"/>
    <w:rsid w:val="001F3B2A"/>
    <w:rsid w:val="001F7D1D"/>
    <w:rsid w:val="00203A29"/>
    <w:rsid w:val="002064C5"/>
    <w:rsid w:val="002103EB"/>
    <w:rsid w:val="002107F2"/>
    <w:rsid w:val="00214516"/>
    <w:rsid w:val="0021578B"/>
    <w:rsid w:val="002162FE"/>
    <w:rsid w:val="00217A6E"/>
    <w:rsid w:val="0022074E"/>
    <w:rsid w:val="002300AD"/>
    <w:rsid w:val="002319D8"/>
    <w:rsid w:val="00236D8A"/>
    <w:rsid w:val="002406E5"/>
    <w:rsid w:val="0024435F"/>
    <w:rsid w:val="00244A44"/>
    <w:rsid w:val="00250F60"/>
    <w:rsid w:val="002537D2"/>
    <w:rsid w:val="00263467"/>
    <w:rsid w:val="00263782"/>
    <w:rsid w:val="00267D2D"/>
    <w:rsid w:val="00274CF3"/>
    <w:rsid w:val="002751FD"/>
    <w:rsid w:val="00285EED"/>
    <w:rsid w:val="00285F65"/>
    <w:rsid w:val="0028684F"/>
    <w:rsid w:val="00287876"/>
    <w:rsid w:val="00291970"/>
    <w:rsid w:val="00295563"/>
    <w:rsid w:val="002B1FC7"/>
    <w:rsid w:val="002B4FE2"/>
    <w:rsid w:val="002B74CB"/>
    <w:rsid w:val="002D2575"/>
    <w:rsid w:val="002E1395"/>
    <w:rsid w:val="002F533A"/>
    <w:rsid w:val="00303866"/>
    <w:rsid w:val="00303FFF"/>
    <w:rsid w:val="00305A29"/>
    <w:rsid w:val="00305A33"/>
    <w:rsid w:val="003066FA"/>
    <w:rsid w:val="003111B8"/>
    <w:rsid w:val="00320211"/>
    <w:rsid w:val="00333978"/>
    <w:rsid w:val="00334A01"/>
    <w:rsid w:val="003377DC"/>
    <w:rsid w:val="00337D1E"/>
    <w:rsid w:val="00343ADC"/>
    <w:rsid w:val="00352E8F"/>
    <w:rsid w:val="003605E1"/>
    <w:rsid w:val="00364282"/>
    <w:rsid w:val="003728DD"/>
    <w:rsid w:val="0037487D"/>
    <w:rsid w:val="00376AD8"/>
    <w:rsid w:val="003832E3"/>
    <w:rsid w:val="00383A04"/>
    <w:rsid w:val="003850DE"/>
    <w:rsid w:val="003978F3"/>
    <w:rsid w:val="003A3B99"/>
    <w:rsid w:val="003B221A"/>
    <w:rsid w:val="003C0014"/>
    <w:rsid w:val="003C09FF"/>
    <w:rsid w:val="003D1D28"/>
    <w:rsid w:val="003D3E1B"/>
    <w:rsid w:val="003D4C0F"/>
    <w:rsid w:val="003D6165"/>
    <w:rsid w:val="003E210E"/>
    <w:rsid w:val="003E2498"/>
    <w:rsid w:val="003E4DB2"/>
    <w:rsid w:val="003F5E99"/>
    <w:rsid w:val="003F6619"/>
    <w:rsid w:val="003F6BBC"/>
    <w:rsid w:val="0040072A"/>
    <w:rsid w:val="0040742C"/>
    <w:rsid w:val="00407B12"/>
    <w:rsid w:val="00410DCC"/>
    <w:rsid w:val="00412A26"/>
    <w:rsid w:val="00416372"/>
    <w:rsid w:val="00424E6A"/>
    <w:rsid w:val="00435D91"/>
    <w:rsid w:val="00441707"/>
    <w:rsid w:val="004458D5"/>
    <w:rsid w:val="00447051"/>
    <w:rsid w:val="0045093D"/>
    <w:rsid w:val="004624FB"/>
    <w:rsid w:val="004653D9"/>
    <w:rsid w:val="0047121F"/>
    <w:rsid w:val="00474366"/>
    <w:rsid w:val="004755BA"/>
    <w:rsid w:val="00481A42"/>
    <w:rsid w:val="00482B28"/>
    <w:rsid w:val="00484FEA"/>
    <w:rsid w:val="00487B58"/>
    <w:rsid w:val="004914DB"/>
    <w:rsid w:val="0049281D"/>
    <w:rsid w:val="00496663"/>
    <w:rsid w:val="004A0DB6"/>
    <w:rsid w:val="004A702E"/>
    <w:rsid w:val="004B0D3D"/>
    <w:rsid w:val="004B0DE5"/>
    <w:rsid w:val="004B66AE"/>
    <w:rsid w:val="004B7A95"/>
    <w:rsid w:val="004C0869"/>
    <w:rsid w:val="004C0CD4"/>
    <w:rsid w:val="004C7D5C"/>
    <w:rsid w:val="004D5A80"/>
    <w:rsid w:val="004E5F1A"/>
    <w:rsid w:val="004E62E4"/>
    <w:rsid w:val="004F47BB"/>
    <w:rsid w:val="004F6C46"/>
    <w:rsid w:val="004F7DA8"/>
    <w:rsid w:val="00511E74"/>
    <w:rsid w:val="00513E6D"/>
    <w:rsid w:val="00517603"/>
    <w:rsid w:val="005179D2"/>
    <w:rsid w:val="0052245A"/>
    <w:rsid w:val="005237AB"/>
    <w:rsid w:val="005319AD"/>
    <w:rsid w:val="00533332"/>
    <w:rsid w:val="00534D05"/>
    <w:rsid w:val="005354D9"/>
    <w:rsid w:val="00536960"/>
    <w:rsid w:val="005405A9"/>
    <w:rsid w:val="0055635D"/>
    <w:rsid w:val="005569F4"/>
    <w:rsid w:val="00556B92"/>
    <w:rsid w:val="00557E57"/>
    <w:rsid w:val="00563D04"/>
    <w:rsid w:val="00573E7E"/>
    <w:rsid w:val="005779A5"/>
    <w:rsid w:val="0058572A"/>
    <w:rsid w:val="005865D5"/>
    <w:rsid w:val="00592BC8"/>
    <w:rsid w:val="005A4ACE"/>
    <w:rsid w:val="005C3D42"/>
    <w:rsid w:val="005C5C8E"/>
    <w:rsid w:val="005D1CC6"/>
    <w:rsid w:val="005D1FF9"/>
    <w:rsid w:val="005D7475"/>
    <w:rsid w:val="005E03C1"/>
    <w:rsid w:val="005E0FBC"/>
    <w:rsid w:val="005E1171"/>
    <w:rsid w:val="005E1F68"/>
    <w:rsid w:val="005E3181"/>
    <w:rsid w:val="005E51EE"/>
    <w:rsid w:val="005F0407"/>
    <w:rsid w:val="005F3088"/>
    <w:rsid w:val="005F7393"/>
    <w:rsid w:val="006103E4"/>
    <w:rsid w:val="006176D8"/>
    <w:rsid w:val="0062209A"/>
    <w:rsid w:val="0062626F"/>
    <w:rsid w:val="006303DA"/>
    <w:rsid w:val="0065208E"/>
    <w:rsid w:val="0065779F"/>
    <w:rsid w:val="00664E88"/>
    <w:rsid w:val="00667BC2"/>
    <w:rsid w:val="0067061E"/>
    <w:rsid w:val="00675848"/>
    <w:rsid w:val="00681A37"/>
    <w:rsid w:val="00683C81"/>
    <w:rsid w:val="00686042"/>
    <w:rsid w:val="006927E3"/>
    <w:rsid w:val="006936F2"/>
    <w:rsid w:val="006960CA"/>
    <w:rsid w:val="006965C7"/>
    <w:rsid w:val="006A388B"/>
    <w:rsid w:val="006A7E3C"/>
    <w:rsid w:val="006B6804"/>
    <w:rsid w:val="006C211C"/>
    <w:rsid w:val="006C2CBC"/>
    <w:rsid w:val="006C37B5"/>
    <w:rsid w:val="006C66A2"/>
    <w:rsid w:val="006E226A"/>
    <w:rsid w:val="006E3881"/>
    <w:rsid w:val="006E5742"/>
    <w:rsid w:val="006E7526"/>
    <w:rsid w:val="006E7C10"/>
    <w:rsid w:val="006F533D"/>
    <w:rsid w:val="006F7C73"/>
    <w:rsid w:val="007008AC"/>
    <w:rsid w:val="00706B19"/>
    <w:rsid w:val="00711552"/>
    <w:rsid w:val="00712CF2"/>
    <w:rsid w:val="0071580E"/>
    <w:rsid w:val="00715BBA"/>
    <w:rsid w:val="0071649C"/>
    <w:rsid w:val="007349BE"/>
    <w:rsid w:val="00740BCE"/>
    <w:rsid w:val="00755734"/>
    <w:rsid w:val="007558F1"/>
    <w:rsid w:val="00766F61"/>
    <w:rsid w:val="00772E2B"/>
    <w:rsid w:val="00792865"/>
    <w:rsid w:val="007953AD"/>
    <w:rsid w:val="007A1493"/>
    <w:rsid w:val="007A31C2"/>
    <w:rsid w:val="007A3AE1"/>
    <w:rsid w:val="007A47D0"/>
    <w:rsid w:val="007A5338"/>
    <w:rsid w:val="007A7997"/>
    <w:rsid w:val="007B246F"/>
    <w:rsid w:val="007B2790"/>
    <w:rsid w:val="007B2E55"/>
    <w:rsid w:val="007C11CF"/>
    <w:rsid w:val="007C7B05"/>
    <w:rsid w:val="007C7FB1"/>
    <w:rsid w:val="007D38A3"/>
    <w:rsid w:val="007D49BC"/>
    <w:rsid w:val="007D69AF"/>
    <w:rsid w:val="007D749C"/>
    <w:rsid w:val="007E26AB"/>
    <w:rsid w:val="007E2E9C"/>
    <w:rsid w:val="007E3AD0"/>
    <w:rsid w:val="007E68AE"/>
    <w:rsid w:val="007F4819"/>
    <w:rsid w:val="00800F6D"/>
    <w:rsid w:val="00820086"/>
    <w:rsid w:val="00822148"/>
    <w:rsid w:val="00831819"/>
    <w:rsid w:val="00836157"/>
    <w:rsid w:val="00842580"/>
    <w:rsid w:val="008455CC"/>
    <w:rsid w:val="0085106F"/>
    <w:rsid w:val="008570FE"/>
    <w:rsid w:val="008662FD"/>
    <w:rsid w:val="008727BC"/>
    <w:rsid w:val="008727DB"/>
    <w:rsid w:val="00874B82"/>
    <w:rsid w:val="00880ECC"/>
    <w:rsid w:val="0088521B"/>
    <w:rsid w:val="00887709"/>
    <w:rsid w:val="00890299"/>
    <w:rsid w:val="008922EA"/>
    <w:rsid w:val="0089459E"/>
    <w:rsid w:val="008A0D15"/>
    <w:rsid w:val="008A29D3"/>
    <w:rsid w:val="008A35AC"/>
    <w:rsid w:val="008A36A3"/>
    <w:rsid w:val="008B0845"/>
    <w:rsid w:val="008B3DC6"/>
    <w:rsid w:val="008B4EEC"/>
    <w:rsid w:val="008D3B2C"/>
    <w:rsid w:val="008D565D"/>
    <w:rsid w:val="008D5A13"/>
    <w:rsid w:val="008D5D12"/>
    <w:rsid w:val="008E093C"/>
    <w:rsid w:val="008E1BF9"/>
    <w:rsid w:val="008E6423"/>
    <w:rsid w:val="008F2B19"/>
    <w:rsid w:val="008F4BE2"/>
    <w:rsid w:val="00910039"/>
    <w:rsid w:val="00910416"/>
    <w:rsid w:val="00914C85"/>
    <w:rsid w:val="00915F6F"/>
    <w:rsid w:val="0092189B"/>
    <w:rsid w:val="009247D3"/>
    <w:rsid w:val="00924F9D"/>
    <w:rsid w:val="0092684A"/>
    <w:rsid w:val="009343F6"/>
    <w:rsid w:val="00944554"/>
    <w:rsid w:val="0094560F"/>
    <w:rsid w:val="00945950"/>
    <w:rsid w:val="009465D6"/>
    <w:rsid w:val="00951F9F"/>
    <w:rsid w:val="009609EA"/>
    <w:rsid w:val="00965928"/>
    <w:rsid w:val="00980E36"/>
    <w:rsid w:val="00983DC1"/>
    <w:rsid w:val="00985053"/>
    <w:rsid w:val="00985721"/>
    <w:rsid w:val="009879F2"/>
    <w:rsid w:val="00995203"/>
    <w:rsid w:val="009960B3"/>
    <w:rsid w:val="009A213C"/>
    <w:rsid w:val="009B524C"/>
    <w:rsid w:val="009B65E5"/>
    <w:rsid w:val="009B7EEC"/>
    <w:rsid w:val="009C1FC8"/>
    <w:rsid w:val="009D3515"/>
    <w:rsid w:val="009D668B"/>
    <w:rsid w:val="009E0B31"/>
    <w:rsid w:val="009E50A0"/>
    <w:rsid w:val="009E69F0"/>
    <w:rsid w:val="009E7AD6"/>
    <w:rsid w:val="009F0A10"/>
    <w:rsid w:val="009F6373"/>
    <w:rsid w:val="00A058E2"/>
    <w:rsid w:val="00A06988"/>
    <w:rsid w:val="00A11AE0"/>
    <w:rsid w:val="00A15717"/>
    <w:rsid w:val="00A170EA"/>
    <w:rsid w:val="00A24AD5"/>
    <w:rsid w:val="00A32744"/>
    <w:rsid w:val="00A33017"/>
    <w:rsid w:val="00A343EC"/>
    <w:rsid w:val="00A34C87"/>
    <w:rsid w:val="00A34F4C"/>
    <w:rsid w:val="00A37D49"/>
    <w:rsid w:val="00A42422"/>
    <w:rsid w:val="00A446D8"/>
    <w:rsid w:val="00A451C9"/>
    <w:rsid w:val="00A477F6"/>
    <w:rsid w:val="00A640FA"/>
    <w:rsid w:val="00A66977"/>
    <w:rsid w:val="00A715AF"/>
    <w:rsid w:val="00A80196"/>
    <w:rsid w:val="00A83FA3"/>
    <w:rsid w:val="00A91E5E"/>
    <w:rsid w:val="00AB1503"/>
    <w:rsid w:val="00AB2F71"/>
    <w:rsid w:val="00AB4001"/>
    <w:rsid w:val="00AB670A"/>
    <w:rsid w:val="00AC214B"/>
    <w:rsid w:val="00AC33DD"/>
    <w:rsid w:val="00AC3E15"/>
    <w:rsid w:val="00AC4114"/>
    <w:rsid w:val="00AC4A19"/>
    <w:rsid w:val="00AC63B4"/>
    <w:rsid w:val="00AD0476"/>
    <w:rsid w:val="00AD4A06"/>
    <w:rsid w:val="00AE02C0"/>
    <w:rsid w:val="00AF0FEF"/>
    <w:rsid w:val="00AF22CD"/>
    <w:rsid w:val="00AF2AEC"/>
    <w:rsid w:val="00AF3566"/>
    <w:rsid w:val="00AF7662"/>
    <w:rsid w:val="00B018D5"/>
    <w:rsid w:val="00B01EF6"/>
    <w:rsid w:val="00B143DA"/>
    <w:rsid w:val="00B14B08"/>
    <w:rsid w:val="00B213E0"/>
    <w:rsid w:val="00B24BFB"/>
    <w:rsid w:val="00B3012A"/>
    <w:rsid w:val="00B3157B"/>
    <w:rsid w:val="00B3321C"/>
    <w:rsid w:val="00B33E50"/>
    <w:rsid w:val="00B369FB"/>
    <w:rsid w:val="00B36F75"/>
    <w:rsid w:val="00B41B4D"/>
    <w:rsid w:val="00B45295"/>
    <w:rsid w:val="00B568A8"/>
    <w:rsid w:val="00B57B89"/>
    <w:rsid w:val="00B671CF"/>
    <w:rsid w:val="00B77F3D"/>
    <w:rsid w:val="00B80DDA"/>
    <w:rsid w:val="00B824FD"/>
    <w:rsid w:val="00B83E76"/>
    <w:rsid w:val="00B86509"/>
    <w:rsid w:val="00B87436"/>
    <w:rsid w:val="00B90C79"/>
    <w:rsid w:val="00BA6ADA"/>
    <w:rsid w:val="00BB647A"/>
    <w:rsid w:val="00BB7872"/>
    <w:rsid w:val="00BC5510"/>
    <w:rsid w:val="00BC6568"/>
    <w:rsid w:val="00BD035E"/>
    <w:rsid w:val="00BD6A84"/>
    <w:rsid w:val="00BD7636"/>
    <w:rsid w:val="00BE1FDD"/>
    <w:rsid w:val="00BE5503"/>
    <w:rsid w:val="00BE5E34"/>
    <w:rsid w:val="00BE7DCB"/>
    <w:rsid w:val="00C017EE"/>
    <w:rsid w:val="00C05447"/>
    <w:rsid w:val="00C1197E"/>
    <w:rsid w:val="00C34D39"/>
    <w:rsid w:val="00C356AB"/>
    <w:rsid w:val="00C4208D"/>
    <w:rsid w:val="00C43DCB"/>
    <w:rsid w:val="00C51AFD"/>
    <w:rsid w:val="00C60129"/>
    <w:rsid w:val="00C61EAD"/>
    <w:rsid w:val="00C622FE"/>
    <w:rsid w:val="00C6435D"/>
    <w:rsid w:val="00C64B20"/>
    <w:rsid w:val="00C6527E"/>
    <w:rsid w:val="00C711F5"/>
    <w:rsid w:val="00C80AC5"/>
    <w:rsid w:val="00C8705D"/>
    <w:rsid w:val="00CB77DA"/>
    <w:rsid w:val="00CB79A1"/>
    <w:rsid w:val="00CC3808"/>
    <w:rsid w:val="00CC731B"/>
    <w:rsid w:val="00CD1E56"/>
    <w:rsid w:val="00CD4E16"/>
    <w:rsid w:val="00CD5406"/>
    <w:rsid w:val="00CE3111"/>
    <w:rsid w:val="00D01494"/>
    <w:rsid w:val="00D03D74"/>
    <w:rsid w:val="00D052B2"/>
    <w:rsid w:val="00D119C3"/>
    <w:rsid w:val="00D11BEA"/>
    <w:rsid w:val="00D17231"/>
    <w:rsid w:val="00D20600"/>
    <w:rsid w:val="00D20EDB"/>
    <w:rsid w:val="00D234EE"/>
    <w:rsid w:val="00D33A31"/>
    <w:rsid w:val="00D51944"/>
    <w:rsid w:val="00D51C57"/>
    <w:rsid w:val="00D557F1"/>
    <w:rsid w:val="00D56A98"/>
    <w:rsid w:val="00D570F8"/>
    <w:rsid w:val="00D669D4"/>
    <w:rsid w:val="00D705D2"/>
    <w:rsid w:val="00D71FF9"/>
    <w:rsid w:val="00D76545"/>
    <w:rsid w:val="00D778D0"/>
    <w:rsid w:val="00D840F4"/>
    <w:rsid w:val="00D916BE"/>
    <w:rsid w:val="00D939EA"/>
    <w:rsid w:val="00DA27C2"/>
    <w:rsid w:val="00DA72DB"/>
    <w:rsid w:val="00DA7EEB"/>
    <w:rsid w:val="00DB5833"/>
    <w:rsid w:val="00DC0523"/>
    <w:rsid w:val="00DC224E"/>
    <w:rsid w:val="00DC37C6"/>
    <w:rsid w:val="00DC5257"/>
    <w:rsid w:val="00DD3240"/>
    <w:rsid w:val="00DD7CD2"/>
    <w:rsid w:val="00DE52EC"/>
    <w:rsid w:val="00DF0126"/>
    <w:rsid w:val="00DF2496"/>
    <w:rsid w:val="00E0006B"/>
    <w:rsid w:val="00E03ACC"/>
    <w:rsid w:val="00E04009"/>
    <w:rsid w:val="00E05CE9"/>
    <w:rsid w:val="00E06B65"/>
    <w:rsid w:val="00E0789C"/>
    <w:rsid w:val="00E16E56"/>
    <w:rsid w:val="00E3451F"/>
    <w:rsid w:val="00E35A75"/>
    <w:rsid w:val="00E42BF8"/>
    <w:rsid w:val="00E42E1A"/>
    <w:rsid w:val="00E44DB4"/>
    <w:rsid w:val="00E52670"/>
    <w:rsid w:val="00E67388"/>
    <w:rsid w:val="00E70E49"/>
    <w:rsid w:val="00E735A4"/>
    <w:rsid w:val="00E74396"/>
    <w:rsid w:val="00E74593"/>
    <w:rsid w:val="00E813F8"/>
    <w:rsid w:val="00E85E00"/>
    <w:rsid w:val="00E86959"/>
    <w:rsid w:val="00E90F64"/>
    <w:rsid w:val="00E94A94"/>
    <w:rsid w:val="00EA2229"/>
    <w:rsid w:val="00EB638A"/>
    <w:rsid w:val="00EC0730"/>
    <w:rsid w:val="00EC19BC"/>
    <w:rsid w:val="00EC4112"/>
    <w:rsid w:val="00EC7924"/>
    <w:rsid w:val="00EE058C"/>
    <w:rsid w:val="00EE09F6"/>
    <w:rsid w:val="00EE35AD"/>
    <w:rsid w:val="00EE7224"/>
    <w:rsid w:val="00EF2598"/>
    <w:rsid w:val="00F0194D"/>
    <w:rsid w:val="00F073B3"/>
    <w:rsid w:val="00F14AEB"/>
    <w:rsid w:val="00F15223"/>
    <w:rsid w:val="00F211BE"/>
    <w:rsid w:val="00F32EA7"/>
    <w:rsid w:val="00F372C5"/>
    <w:rsid w:val="00F37D5B"/>
    <w:rsid w:val="00F416CF"/>
    <w:rsid w:val="00F44A89"/>
    <w:rsid w:val="00F451E6"/>
    <w:rsid w:val="00F4707D"/>
    <w:rsid w:val="00F50134"/>
    <w:rsid w:val="00F64159"/>
    <w:rsid w:val="00F642E2"/>
    <w:rsid w:val="00F82244"/>
    <w:rsid w:val="00F834E4"/>
    <w:rsid w:val="00F84392"/>
    <w:rsid w:val="00F84485"/>
    <w:rsid w:val="00F844E7"/>
    <w:rsid w:val="00F94D09"/>
    <w:rsid w:val="00FA140C"/>
    <w:rsid w:val="00FA1B9C"/>
    <w:rsid w:val="00FA26E9"/>
    <w:rsid w:val="00FA30CD"/>
    <w:rsid w:val="00FA3D5A"/>
    <w:rsid w:val="00FC084D"/>
    <w:rsid w:val="00FC0E45"/>
    <w:rsid w:val="00FC51CA"/>
    <w:rsid w:val="00FC59FF"/>
    <w:rsid w:val="00FC74B0"/>
    <w:rsid w:val="00FC7CD6"/>
    <w:rsid w:val="00FD445A"/>
    <w:rsid w:val="00FD5F6B"/>
    <w:rsid w:val="00FD7186"/>
    <w:rsid w:val="00FD74D9"/>
    <w:rsid w:val="00FE0F68"/>
    <w:rsid w:val="00FE291C"/>
    <w:rsid w:val="00FF0346"/>
    <w:rsid w:val="00FF62E9"/>
    <w:rsid w:val="60313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1"/>
    <w:basedOn w:val="1"/>
    <w:next w:val="1"/>
    <w:link w:val="20"/>
    <w:qFormat/>
    <w:uiPriority w:val="9"/>
    <w:pPr>
      <w:keepNext/>
      <w:keepLines/>
      <w:spacing w:before="340" w:after="330" w:line="578" w:lineRule="auto"/>
      <w:outlineLvl w:val="0"/>
    </w:pPr>
    <w:rPr>
      <w:rFonts w:eastAsiaTheme="minorEastAsia"/>
      <w:b/>
      <w:bCs/>
      <w:kern w:val="44"/>
      <w:sz w:val="44"/>
      <w:szCs w:val="44"/>
    </w:rPr>
  </w:style>
  <w:style w:type="paragraph" w:styleId="3">
    <w:name w:val="heading 2"/>
    <w:basedOn w:val="1"/>
    <w:next w:val="1"/>
    <w:link w:val="2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0">
    <w:name w:val="Default Paragraph Font"/>
    <w:unhideWhenUsed/>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4">
    <w:name w:val="Date"/>
    <w:basedOn w:val="1"/>
    <w:next w:val="1"/>
    <w:link w:val="19"/>
    <w:unhideWhenUsed/>
    <w:uiPriority w:val="99"/>
    <w:pPr>
      <w:ind w:left="100" w:leftChars="2500"/>
    </w:pPr>
  </w:style>
  <w:style w:type="paragraph" w:styleId="5">
    <w:name w:val="Balloon Text"/>
    <w:basedOn w:val="1"/>
    <w:link w:val="18"/>
    <w:unhideWhenUsed/>
    <w:uiPriority w:val="99"/>
    <w:rPr>
      <w:sz w:val="18"/>
      <w:szCs w:val="18"/>
    </w:rPr>
  </w:style>
  <w:style w:type="paragraph" w:styleId="6">
    <w:name w:val="footer"/>
    <w:basedOn w:val="1"/>
    <w:link w:val="17"/>
    <w:unhideWhenUsed/>
    <w:uiPriority w:val="99"/>
    <w:pPr>
      <w:tabs>
        <w:tab w:val="center" w:pos="4153"/>
        <w:tab w:val="right" w:pos="8306"/>
      </w:tabs>
      <w:snapToGrid w:val="0"/>
      <w:jc w:val="left"/>
    </w:pPr>
    <w:rPr>
      <w:sz w:val="18"/>
      <w:szCs w:val="18"/>
    </w:rPr>
  </w:style>
  <w:style w:type="paragraph" w:styleId="7">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2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仿宋_GB2312" w:hAnsi="宋体" w:cs="Times New Roman"/>
      <w:kern w:val="0"/>
      <w:szCs w:val="24"/>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Emphasis"/>
    <w:basedOn w:val="10"/>
    <w:qFormat/>
    <w:uiPriority w:val="20"/>
    <w:rPr>
      <w:i/>
      <w:iCs/>
    </w:rPr>
  </w:style>
  <w:style w:type="character" w:styleId="13">
    <w:name w:val="Hyperlink"/>
    <w:basedOn w:val="10"/>
    <w:uiPriority w:val="0"/>
    <w:rPr>
      <w:color w:val="0000FF"/>
      <w:u w:val="single"/>
    </w:rPr>
  </w:style>
  <w:style w:type="table" w:styleId="15">
    <w:name w:val="Table Grid"/>
    <w:basedOn w:val="14"/>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页眉 Char"/>
    <w:basedOn w:val="10"/>
    <w:link w:val="7"/>
    <w:semiHidden/>
    <w:uiPriority w:val="99"/>
    <w:rPr>
      <w:rFonts w:eastAsia="仿宋_GB2312"/>
      <w:sz w:val="18"/>
      <w:szCs w:val="18"/>
    </w:rPr>
  </w:style>
  <w:style w:type="character" w:customStyle="1" w:styleId="17">
    <w:name w:val="页脚 Char"/>
    <w:basedOn w:val="10"/>
    <w:link w:val="6"/>
    <w:uiPriority w:val="99"/>
    <w:rPr>
      <w:rFonts w:eastAsia="仿宋_GB2312"/>
      <w:sz w:val="18"/>
      <w:szCs w:val="18"/>
    </w:rPr>
  </w:style>
  <w:style w:type="character" w:customStyle="1" w:styleId="18">
    <w:name w:val="批注框文本 Char"/>
    <w:basedOn w:val="10"/>
    <w:link w:val="5"/>
    <w:semiHidden/>
    <w:uiPriority w:val="99"/>
    <w:rPr>
      <w:rFonts w:eastAsia="仿宋_GB2312"/>
      <w:sz w:val="18"/>
      <w:szCs w:val="18"/>
    </w:rPr>
  </w:style>
  <w:style w:type="character" w:customStyle="1" w:styleId="19">
    <w:name w:val="日期 Char"/>
    <w:basedOn w:val="10"/>
    <w:link w:val="4"/>
    <w:semiHidden/>
    <w:uiPriority w:val="99"/>
    <w:rPr>
      <w:rFonts w:eastAsia="仿宋_GB2312"/>
      <w:sz w:val="32"/>
    </w:rPr>
  </w:style>
  <w:style w:type="character" w:customStyle="1" w:styleId="20">
    <w:name w:val="标题 1 Char"/>
    <w:basedOn w:val="10"/>
    <w:link w:val="2"/>
    <w:uiPriority w:val="9"/>
    <w:rPr>
      <w:b/>
      <w:bCs/>
      <w:kern w:val="44"/>
      <w:sz w:val="44"/>
      <w:szCs w:val="44"/>
    </w:rPr>
  </w:style>
  <w:style w:type="character" w:customStyle="1" w:styleId="21">
    <w:name w:val="HTML 预设格式 Char"/>
    <w:basedOn w:val="10"/>
    <w:link w:val="8"/>
    <w:uiPriority w:val="0"/>
    <w:rPr>
      <w:rFonts w:ascii="仿宋_GB2312" w:hAnsi="宋体" w:eastAsia="仿宋_GB2312" w:cs="Times New Roman"/>
      <w:kern w:val="0"/>
      <w:sz w:val="32"/>
      <w:szCs w:val="24"/>
    </w:rPr>
  </w:style>
  <w:style w:type="paragraph" w:customStyle="1" w:styleId="22">
    <w:name w:val="列出段落1"/>
    <w:basedOn w:val="1"/>
    <w:qFormat/>
    <w:uiPriority w:val="34"/>
    <w:pPr>
      <w:ind w:firstLine="420" w:firstLineChars="200"/>
    </w:pPr>
    <w:rPr>
      <w:rFonts w:eastAsiaTheme="minorEastAsia"/>
      <w:sz w:val="21"/>
    </w:rPr>
  </w:style>
  <w:style w:type="character" w:customStyle="1" w:styleId="23">
    <w:name w:val="标题 2 Char"/>
    <w:basedOn w:val="10"/>
    <w:link w:val="3"/>
    <w:uiPriority w:val="9"/>
    <w:rPr>
      <w:rFonts w:ascii="宋体" w:hAnsi="宋体" w:eastAsia="宋体" w:cs="宋体"/>
      <w:b/>
      <w:bCs/>
      <w:kern w:val="0"/>
      <w:sz w:val="36"/>
      <w:szCs w:val="36"/>
    </w:rPr>
  </w:style>
  <w:style w:type="character" w:customStyle="1" w:styleId="24">
    <w:name w:val="rich_media_meta"/>
    <w:basedOn w:val="10"/>
    <w:uiPriority w:val="0"/>
  </w:style>
  <w:style w:type="character" w:customStyle="1" w:styleId="25">
    <w:name w:val="apple-converted-space"/>
    <w:basedOn w:val="10"/>
    <w:uiPriority w:val="0"/>
  </w:style>
  <w:style w:type="paragraph" w:customStyle="1" w:styleId="26">
    <w:name w:val="rich_media_meta_primary"/>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
    <w:name w:val="sou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
    <w:name w:val="sou"/>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68B7EF-0D7C-4638-9C19-1BF0FDE96171}">
  <ds:schemaRefs/>
</ds:datastoreItem>
</file>

<file path=docProps/app.xml><?xml version="1.0" encoding="utf-8"?>
<Properties xmlns="http://schemas.openxmlformats.org/officeDocument/2006/extended-properties" xmlns:vt="http://schemas.openxmlformats.org/officeDocument/2006/docPropsVTypes">
  <Template>（校核版）辽宁省交通建设投资集团招聘公告</Template>
  <Company>china</Company>
  <Pages>9</Pages>
  <Words>612</Words>
  <Characters>3492</Characters>
  <Lines>29</Lines>
  <Paragraphs>8</Paragraphs>
  <TotalTime>0</TotalTime>
  <ScaleCrop>false</ScaleCrop>
  <LinksUpToDate>false</LinksUpToDate>
  <CharactersWithSpaces>4096</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2019-04-09T00:46:00Z</dcterms:created>
  <dc:creator>cs</dc:creator>
  <cp:lastModifiedBy>pc</cp:lastModifiedBy>
  <cp:lastPrinted>2019-04-08T13:04:00Z</cp:lastPrinted>
  <dcterms:modified xsi:type="dcterms:W3CDTF">2019-04-09T00:52:47Z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