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3: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应届毕业生证明</w:t>
      </w:r>
    </w:p>
    <w:bookmarkEnd w:id="0"/>
    <w:p>
      <w:pP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（本科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研究生）应届毕业生，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年入学，学制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未）完成培养方案规定的学业课程，若毕业论文答辩合格将于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月取得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（盖  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学校公章或学校教务部门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学生管理部门、二级院（系）公章有效。2.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可打印或手写，涂改无效。3.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内容可据实补充。</w:t>
      </w:r>
    </w:p>
    <w:p>
      <w:pPr>
        <w:rPr>
          <w:rFonts w:hint="eastAsia"/>
        </w:rPr>
      </w:pPr>
    </w:p>
    <w:sectPr>
      <w:pgSz w:w="11905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5C2085D"/>
    <w:rsid w:val="2E7863C7"/>
    <w:rsid w:val="2EAD1222"/>
    <w:rsid w:val="31651DAF"/>
    <w:rsid w:val="342A7333"/>
    <w:rsid w:val="3E137EE5"/>
    <w:rsid w:val="3ED04AB8"/>
    <w:rsid w:val="4F754DE4"/>
    <w:rsid w:val="545221F3"/>
    <w:rsid w:val="64E35695"/>
    <w:rsid w:val="668F7284"/>
    <w:rsid w:val="68252818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9D7557E53D0B42838F49FD252F8E5448_13</vt:lpwstr>
  </property>
</Properties>
</file>