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000000"/>
          <w:sz w:val="34"/>
          <w:szCs w:val="34"/>
          <w:shd w:val="clear" w:color="auto" w:fill="FFFFFF"/>
          <w:lang w:val="en-US" w:eastAsia="zh-CN"/>
        </w:rPr>
      </w:pPr>
      <w:r>
        <w:rPr>
          <w:rFonts w:hint="eastAsia" w:ascii="黑体" w:hAnsi="黑体" w:eastAsia="黑体" w:cs="黑体"/>
          <w:b w:val="0"/>
          <w:bCs w:val="0"/>
          <w:color w:val="000000"/>
          <w:sz w:val="34"/>
          <w:szCs w:val="34"/>
          <w:shd w:val="clear" w:color="auto" w:fill="FFFFFF"/>
          <w:lang w:eastAsia="zh-CN"/>
        </w:rPr>
        <w:t>附件</w:t>
      </w:r>
      <w:r>
        <w:rPr>
          <w:rFonts w:hint="eastAsia" w:ascii="黑体" w:hAnsi="黑体" w:eastAsia="黑体" w:cs="黑体"/>
          <w:b w:val="0"/>
          <w:bCs w:val="0"/>
          <w:color w:val="000000"/>
          <w:sz w:val="34"/>
          <w:szCs w:val="34"/>
          <w:shd w:val="clear" w:color="auto" w:fill="FFFFFF"/>
          <w:lang w:val="en-US" w:eastAsia="zh-CN"/>
        </w:rPr>
        <w:t>2</w:t>
      </w:r>
    </w:p>
    <w:p>
      <w:pPr>
        <w:jc w:val="center"/>
        <w:rPr>
          <w:rFonts w:hint="eastAsia" w:ascii="宋体" w:hAnsi="宋体" w:eastAsia="宋体" w:cs="宋体"/>
          <w:b/>
          <w:bCs/>
          <w:color w:val="000000"/>
          <w:sz w:val="44"/>
          <w:szCs w:val="44"/>
          <w:shd w:val="clear" w:color="auto" w:fill="FFFFFF"/>
        </w:rPr>
      </w:pPr>
    </w:p>
    <w:p>
      <w:pPr>
        <w:jc w:val="center"/>
        <w:rPr>
          <w:rFonts w:hint="eastAsia" w:ascii="宋体" w:hAnsi="宋体" w:eastAsia="宋体" w:cs="宋体"/>
          <w:b/>
          <w:bCs/>
          <w:color w:val="000000"/>
          <w:sz w:val="44"/>
          <w:szCs w:val="44"/>
          <w:shd w:val="clear" w:color="auto" w:fill="FFFFFF"/>
        </w:rPr>
      </w:pPr>
      <w:bookmarkStart w:id="0" w:name="_GoBack"/>
      <w:bookmarkEnd w:id="0"/>
      <w:r>
        <w:rPr>
          <w:rFonts w:hint="eastAsia" w:ascii="宋体" w:hAnsi="宋体" w:eastAsia="宋体" w:cs="宋体"/>
          <w:b/>
          <w:bCs/>
          <w:color w:val="000000"/>
          <w:sz w:val="44"/>
          <w:szCs w:val="44"/>
          <w:shd w:val="clear" w:color="auto" w:fill="FFFFFF"/>
        </w:rPr>
        <w:t>2022年</w:t>
      </w:r>
      <w:r>
        <w:rPr>
          <w:rFonts w:hint="eastAsia" w:ascii="宋体" w:hAnsi="宋体" w:eastAsia="宋体" w:cs="宋体"/>
          <w:b/>
          <w:bCs/>
          <w:color w:val="000000"/>
          <w:sz w:val="44"/>
          <w:szCs w:val="44"/>
          <w:shd w:val="clear" w:color="auto" w:fill="FFFFFF"/>
          <w:lang w:eastAsia="zh-CN"/>
        </w:rPr>
        <w:t>度</w:t>
      </w:r>
      <w:r>
        <w:rPr>
          <w:rFonts w:hint="eastAsia" w:ascii="宋体" w:hAnsi="宋体" w:eastAsia="宋体" w:cs="宋体"/>
          <w:b/>
          <w:bCs/>
          <w:color w:val="000000"/>
          <w:sz w:val="44"/>
          <w:szCs w:val="44"/>
          <w:shd w:val="clear" w:color="auto" w:fill="FFFFFF"/>
        </w:rPr>
        <w:t>铁岭市</w:t>
      </w:r>
      <w:r>
        <w:rPr>
          <w:rFonts w:hint="eastAsia" w:ascii="宋体" w:hAnsi="宋体" w:eastAsia="宋体" w:cs="宋体"/>
          <w:b/>
          <w:bCs/>
          <w:color w:val="000000"/>
          <w:sz w:val="44"/>
          <w:szCs w:val="44"/>
          <w:shd w:val="clear" w:color="auto" w:fill="FFFFFF"/>
          <w:lang w:eastAsia="zh-CN"/>
        </w:rPr>
        <w:t>考试录用公务员</w:t>
      </w:r>
      <w:r>
        <w:rPr>
          <w:rFonts w:hint="eastAsia" w:ascii="宋体" w:hAnsi="宋体" w:eastAsia="宋体" w:cs="宋体"/>
          <w:b/>
          <w:bCs/>
          <w:color w:val="000000"/>
          <w:sz w:val="44"/>
          <w:szCs w:val="44"/>
          <w:shd w:val="clear" w:color="auto" w:fill="FFFFFF"/>
        </w:rPr>
        <w:t>面试</w:t>
      </w:r>
    </w:p>
    <w:p>
      <w:pPr>
        <w:jc w:val="center"/>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新冠肺炎疫情防控告知书</w:t>
      </w:r>
    </w:p>
    <w:p>
      <w:pPr>
        <w:jc w:val="center"/>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（动态调整，请考生持续关注）</w:t>
      </w:r>
    </w:p>
    <w:p>
      <w:pPr>
        <w:pStyle w:val="4"/>
        <w:keepNext w:val="0"/>
        <w:keepLines w:val="0"/>
        <w:widowControl/>
        <w:suppressLineNumbers w:val="0"/>
        <w:wordWrap w:val="0"/>
        <w:spacing w:before="0" w:beforeAutospacing="0" w:after="0" w:afterAutospacing="0"/>
        <w:ind w:left="0" w:right="0"/>
        <w:rPr>
          <w:rFonts w:hint="eastAsia" w:ascii="仿宋_GB2312" w:hAnsi="仿宋_GB2312" w:eastAsia="仿宋_GB2312" w:cs="仿宋_GB2312"/>
          <w:sz w:val="34"/>
          <w:szCs w:val="34"/>
          <w:shd w:val="clear" w:fill="FFFFFF"/>
        </w:rPr>
      </w:pP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为保障广大考生和考试工作人员的生命安全和身体健康，确保2022年度</w:t>
      </w:r>
      <w:r>
        <w:rPr>
          <w:rFonts w:hint="eastAsia" w:ascii="仿宋_GB2312" w:hAnsi="仿宋_GB2312" w:eastAsia="仿宋_GB2312" w:cs="仿宋_GB2312"/>
          <w:sz w:val="34"/>
          <w:szCs w:val="34"/>
          <w:shd w:val="clear" w:fill="FFFFFF"/>
          <w:lang w:eastAsia="zh-CN"/>
        </w:rPr>
        <w:t>铁岭市</w:t>
      </w:r>
      <w:r>
        <w:rPr>
          <w:rFonts w:hint="eastAsia" w:ascii="仿宋_GB2312" w:hAnsi="仿宋_GB2312" w:eastAsia="仿宋_GB2312" w:cs="仿宋_GB2312"/>
          <w:sz w:val="34"/>
          <w:szCs w:val="34"/>
          <w:shd w:val="clear" w:fill="FFFFFF"/>
        </w:rPr>
        <w:t>考试录用公务员面试安全平稳顺利实施，根据当前国家及辽宁省</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市新冠肺炎疫情防控工作最新要求，结合工作实际，现将</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考区面试疫情防控要求和措施告知如下，请考生务必充分知晓并遵照执行。</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1.考生应主动了解并严格遵守</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市疫情防控要求，随时关注国内疫情防控权威信息（</w:t>
      </w:r>
      <w:r>
        <w:rPr>
          <w:rFonts w:hint="eastAsia" w:ascii="仿宋" w:hAnsi="仿宋" w:eastAsia="仿宋" w:cs="仿宋"/>
          <w:sz w:val="34"/>
          <w:szCs w:val="34"/>
        </w:rPr>
        <w:t>铁岭市疫情防控信息请关注微信“铁岭发布”公众号和“国务院客户端”小程序</w:t>
      </w:r>
      <w:r>
        <w:rPr>
          <w:rFonts w:hint="eastAsia" w:ascii="仿宋_GB2312" w:hAnsi="仿宋_GB2312" w:eastAsia="仿宋_GB2312" w:cs="仿宋_GB2312"/>
          <w:sz w:val="34"/>
          <w:szCs w:val="34"/>
          <w:shd w:val="clear" w:fill="FFFFFF"/>
        </w:rPr>
        <w:t>），充分了解</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市对往返中高风险地区和低风险地区人员的疫情防控具体要求，积极配合做好现场防疫工作。</w:t>
      </w:r>
      <w:r>
        <w:rPr>
          <w:rStyle w:val="7"/>
          <w:rFonts w:hint="eastAsia" w:ascii="仿宋_GB2312" w:hAnsi="仿宋_GB2312" w:eastAsia="仿宋_GB2312" w:cs="仿宋_GB2312"/>
          <w:sz w:val="34"/>
          <w:szCs w:val="34"/>
          <w:shd w:val="clear" w:fill="FFFFFF"/>
        </w:rPr>
        <w:t>请考生结合自身实际情况严格执行</w:t>
      </w:r>
      <w:r>
        <w:rPr>
          <w:rStyle w:val="7"/>
          <w:rFonts w:hint="eastAsia" w:ascii="仿宋_GB2312" w:hAnsi="仿宋_GB2312" w:eastAsia="仿宋_GB2312" w:cs="仿宋_GB2312"/>
          <w:sz w:val="34"/>
          <w:szCs w:val="34"/>
          <w:shd w:val="clear" w:fill="FFFFFF"/>
          <w:lang w:eastAsia="zh-CN"/>
        </w:rPr>
        <w:t>铁岭</w:t>
      </w:r>
      <w:r>
        <w:rPr>
          <w:rStyle w:val="7"/>
          <w:rFonts w:hint="eastAsia" w:ascii="仿宋_GB2312" w:hAnsi="仿宋_GB2312" w:eastAsia="仿宋_GB2312" w:cs="仿宋_GB2312"/>
          <w:sz w:val="34"/>
          <w:szCs w:val="34"/>
          <w:shd w:val="clear" w:fill="FFFFFF"/>
        </w:rPr>
        <w:t>市疫情防控政策，特别是外省和</w:t>
      </w:r>
      <w:r>
        <w:rPr>
          <w:rStyle w:val="7"/>
          <w:rFonts w:hint="eastAsia" w:ascii="仿宋_GB2312" w:hAnsi="仿宋_GB2312" w:eastAsia="仿宋_GB2312" w:cs="仿宋_GB2312"/>
          <w:sz w:val="34"/>
          <w:szCs w:val="34"/>
          <w:shd w:val="clear" w:fill="FFFFFF"/>
          <w:lang w:eastAsia="zh-CN"/>
        </w:rPr>
        <w:t>铁岭</w:t>
      </w:r>
      <w:r>
        <w:rPr>
          <w:rStyle w:val="7"/>
          <w:rFonts w:hint="eastAsia" w:ascii="仿宋_GB2312" w:hAnsi="仿宋_GB2312" w:eastAsia="仿宋_GB2312" w:cs="仿宋_GB2312"/>
          <w:sz w:val="34"/>
          <w:szCs w:val="34"/>
          <w:shd w:val="clear" w:fill="FFFFFF"/>
        </w:rPr>
        <w:t>市外参加面试的考生，要及时全面了解和遵守</w:t>
      </w:r>
      <w:r>
        <w:rPr>
          <w:rStyle w:val="7"/>
          <w:rFonts w:hint="eastAsia" w:ascii="仿宋_GB2312" w:hAnsi="仿宋_GB2312" w:eastAsia="仿宋_GB2312" w:cs="仿宋_GB2312"/>
          <w:sz w:val="34"/>
          <w:szCs w:val="34"/>
          <w:shd w:val="clear" w:fill="FFFFFF"/>
          <w:lang w:eastAsia="zh-CN"/>
        </w:rPr>
        <w:t>铁岭</w:t>
      </w:r>
      <w:r>
        <w:rPr>
          <w:rStyle w:val="7"/>
          <w:rFonts w:hint="eastAsia" w:ascii="仿宋_GB2312" w:hAnsi="仿宋_GB2312" w:eastAsia="仿宋_GB2312" w:cs="仿宋_GB2312"/>
          <w:sz w:val="34"/>
          <w:szCs w:val="34"/>
          <w:shd w:val="clear" w:fill="FFFFFF"/>
        </w:rPr>
        <w:t>市对于外来人员信息报备、抵达后健康监测和核酸检测等疫情防控要求，避免因旅居史、接触史等原因被管控而影响正常参加面试。考生不得以参加面试为由拒绝执行疫情管控措施。</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2.考生应于面试前7天完成“辽事通健康码”的申领（微信小程序或“辽事通”APP），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3.面试当天，有以下情形之一者不得参加面试：</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 xml:space="preserve">（1）仍在隔离治疗期的新冠肺炎确诊病例、疑似病例或无症状感染者；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 xml:space="preserve">（2）新冠肺炎确诊病例、疑似病例和无症状感染者的密切接触者或次级密接者以及尚未完成隔离医学观察等健康管理的人员；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 xml:space="preserve">（3）隔离期未满或因属地疫情防控要求被管控的人员；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 xml:space="preserve">（4）不能按要求提供相应核酸检测阴性证明的人员；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 xml:space="preserve">（5）“辽事通健康码”非绿码，面试前7天内有中高风险区旅居史、10天内有港台地区、境外旅居史人员，尚在随访或医学观察期的已治愈出院的确诊病例和无症状感染者、不能排除感染可能的发热患者，经综合研判不具备参加面试条件的人员；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（6）进入考点前，因体温异常、干咳、乏力等症状经考点防疫副主考综合研判不具备参加面试条件的人员。</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4.考生须提供符合防疫要求的核酸检测阴性证明：</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（1）核酸检测阴性证明必须是有资质的核酸检测机构出具</w:t>
      </w:r>
      <w:r>
        <w:rPr>
          <w:rFonts w:hint="eastAsia" w:ascii="仿宋_GB2312" w:hAnsi="仿宋_GB2312" w:eastAsia="仿宋_GB2312" w:cs="仿宋_GB2312"/>
          <w:sz w:val="34"/>
          <w:szCs w:val="34"/>
          <w:shd w:val="clear" w:fill="FFFFFF"/>
          <w:lang w:eastAsia="zh-CN"/>
        </w:rPr>
        <w:t>，</w:t>
      </w:r>
      <w:r>
        <w:rPr>
          <w:rFonts w:hint="eastAsia" w:ascii="仿宋" w:hAnsi="仿宋" w:eastAsia="仿宋" w:cs="仿宋"/>
          <w:sz w:val="34"/>
          <w:szCs w:val="34"/>
        </w:rPr>
        <w:t>纸质</w:t>
      </w:r>
      <w:r>
        <w:rPr>
          <w:rFonts w:hint="eastAsia" w:ascii="仿宋" w:hAnsi="仿宋" w:eastAsia="仿宋" w:cs="仿宋"/>
          <w:sz w:val="34"/>
          <w:szCs w:val="34"/>
          <w:lang w:eastAsia="zh-CN"/>
        </w:rPr>
        <w:t>版</w:t>
      </w:r>
      <w:r>
        <w:rPr>
          <w:rFonts w:hint="eastAsia" w:ascii="仿宋" w:hAnsi="仿宋" w:eastAsia="仿宋" w:cs="仿宋"/>
          <w:sz w:val="34"/>
          <w:szCs w:val="34"/>
        </w:rPr>
        <w:t>或电子</w:t>
      </w:r>
      <w:r>
        <w:rPr>
          <w:rFonts w:hint="eastAsia" w:ascii="仿宋" w:hAnsi="仿宋" w:eastAsia="仿宋" w:cs="仿宋"/>
          <w:sz w:val="34"/>
          <w:szCs w:val="34"/>
          <w:lang w:eastAsia="zh-CN"/>
        </w:rPr>
        <w:t>版</w:t>
      </w:r>
      <w:r>
        <w:rPr>
          <w:rFonts w:hint="eastAsia" w:ascii="仿宋" w:hAnsi="仿宋" w:eastAsia="仿宋" w:cs="仿宋"/>
          <w:sz w:val="34"/>
          <w:szCs w:val="34"/>
        </w:rPr>
        <w:t>均可，要求能明确显示核酸检测报告时间和核酸检测的地点。</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2）考生应提供本人面试前48小时内核酸检测阴性证明。7天内有低风险区〔按《新型冠状病毒肺炎防控方案（第九版）》要求，中高风险区所在县（市、区、旗）的其他地区为低风险区〕旅居史的考生，还需提供</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市3天内两次核酸检测阴性证明（间隔时间需超过24小时）。</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rPr>
      </w:pPr>
      <w:r>
        <w:rPr>
          <w:rFonts w:hint="eastAsia" w:ascii="仿宋_GB2312" w:hAnsi="仿宋_GB2312" w:eastAsia="仿宋_GB2312" w:cs="仿宋_GB2312"/>
          <w:sz w:val="34"/>
          <w:szCs w:val="34"/>
          <w:shd w:val="clear" w:fill="FFFFFF"/>
        </w:rPr>
        <w:t>跨省或跨市参加面试的考生到达</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市后，需第一时间进行一次核酸检测。</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rPr>
      </w:pPr>
      <w:r>
        <w:rPr>
          <w:rFonts w:hint="eastAsia" w:ascii="仿宋_GB2312" w:hAnsi="仿宋_GB2312" w:eastAsia="仿宋_GB2312" w:cs="仿宋_GB2312"/>
          <w:sz w:val="34"/>
          <w:szCs w:val="34"/>
          <w:shd w:val="clear" w:fill="FFFFFF"/>
        </w:rPr>
        <w:t>（3）考生应根据本人参加面试的时间和核酸检测报告所需时间，合理安排核酸检测，确保核酸检测报告时间符合要求，以免影响参加面试。</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rPr>
      </w:pPr>
      <w:r>
        <w:rPr>
          <w:rFonts w:hint="eastAsia" w:ascii="仿宋_GB2312" w:hAnsi="仿宋_GB2312" w:eastAsia="仿宋_GB2312" w:cs="仿宋_GB2312"/>
          <w:sz w:val="34"/>
          <w:szCs w:val="34"/>
          <w:shd w:val="clear" w:fill="FFFFFF"/>
        </w:rPr>
        <w:t>铁岭市外考生到达铁岭市后，应严格执行属地疫情防控要求，不得随意流动，不得参加与</w:t>
      </w:r>
      <w:r>
        <w:rPr>
          <w:rFonts w:hint="eastAsia" w:ascii="仿宋_GB2312" w:hAnsi="仿宋_GB2312" w:eastAsia="仿宋_GB2312" w:cs="仿宋_GB2312"/>
          <w:sz w:val="34"/>
          <w:szCs w:val="34"/>
          <w:shd w:val="clear" w:fill="FFFFFF"/>
          <w:lang w:eastAsia="zh-CN"/>
        </w:rPr>
        <w:t>面</w:t>
      </w:r>
      <w:r>
        <w:rPr>
          <w:rFonts w:hint="eastAsia" w:ascii="仿宋_GB2312" w:hAnsi="仿宋_GB2312" w:eastAsia="仿宋_GB2312" w:cs="仿宋_GB2312"/>
          <w:sz w:val="34"/>
          <w:szCs w:val="34"/>
          <w:shd w:val="clear" w:fill="FFFFFF"/>
        </w:rPr>
        <w:t>试无关的活动。</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5.每场面试前，考生应至少提前</w:t>
      </w:r>
      <w:r>
        <w:rPr>
          <w:rFonts w:hint="eastAsia" w:ascii="仿宋_GB2312" w:hAnsi="仿宋_GB2312" w:eastAsia="仿宋_GB2312" w:cs="仿宋_GB2312"/>
          <w:sz w:val="34"/>
          <w:szCs w:val="34"/>
          <w:shd w:val="clear" w:fill="FFFFFF"/>
          <w:lang w:val="en-US" w:eastAsia="zh-CN"/>
        </w:rPr>
        <w:t>6</w:t>
      </w:r>
      <w:r>
        <w:rPr>
          <w:rFonts w:hint="eastAsia" w:ascii="仿宋_GB2312" w:hAnsi="仿宋_GB2312" w:eastAsia="仿宋_GB2312" w:cs="仿宋_GB2312"/>
          <w:sz w:val="34"/>
          <w:szCs w:val="34"/>
          <w:shd w:val="clear" w:fill="FFFFFF"/>
        </w:rPr>
        <w:t>0分钟到达考点，在面试考点入口防疫检测点有序排队，规范佩戴口罩，保持1米以上间隔距离，并提前准备好本人有效身份证件原件、笔试准考证、“辽事通健康码”（绿码）、“通信大数据行程卡”、本人核酸检测阴性证明，配合工作人员做好入场验码和测温。经现场核验，“辽事通健康码”、“通信大数据行程卡”、核酸检测报告均符合要求，体温正常（＜37.3℃）且无咳嗽等呼吸道异常症状者，方可进入面试考点。入场时体温复测仍异常（≥37.3℃）、有干咳等呼吸道症状、“辽事通健康码”、“通信大数据行程卡”异常的，除按规定要求提供相应的核酸检测阴性证明外，还应提供三级甲等医院出具的医学诊断证明或经防疫副主考综合研判具备参考条件的，方可参加</w:t>
      </w:r>
      <w:r>
        <w:rPr>
          <w:rFonts w:hint="eastAsia" w:ascii="仿宋_GB2312" w:hAnsi="仿宋_GB2312" w:eastAsia="仿宋_GB2312" w:cs="仿宋_GB2312"/>
          <w:sz w:val="34"/>
          <w:szCs w:val="34"/>
          <w:shd w:val="clear" w:fill="FFFFFF"/>
          <w:lang w:eastAsia="zh-CN"/>
        </w:rPr>
        <w:t>面</w:t>
      </w:r>
      <w:r>
        <w:rPr>
          <w:rFonts w:hint="eastAsia" w:ascii="仿宋_GB2312" w:hAnsi="仿宋_GB2312" w:eastAsia="仿宋_GB2312" w:cs="仿宋_GB2312"/>
          <w:sz w:val="34"/>
          <w:szCs w:val="34"/>
          <w:shd w:val="clear" w:fill="FFFFFF"/>
        </w:rPr>
        <w:t>试。</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6.请考生做好自我防护</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1）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r>
        <w:rPr>
          <w:rStyle w:val="7"/>
          <w:rFonts w:hint="eastAsia" w:ascii="仿宋_GB2312" w:hAnsi="仿宋_GB2312" w:eastAsia="仿宋_GB2312" w:cs="仿宋_GB2312"/>
          <w:sz w:val="34"/>
          <w:szCs w:val="34"/>
          <w:shd w:val="clear" w:fill="FFFFFF"/>
        </w:rPr>
        <w:t xml:space="preserve">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2）考生应提前了解面试考点入口位置和前往路线，提前做好出行安排。根据疫情防控管理相关要求，社会车辆禁止进入面试考点，考生应选择合适的出行方式，尽可能做到居住地与面试考点之间“两点一线”。提倡考生自行赴考，送考人员不得进入面试考点和在面试考点周围聚集。</w:t>
      </w:r>
      <w:r>
        <w:rPr>
          <w:rStyle w:val="7"/>
          <w:rFonts w:hint="eastAsia" w:ascii="仿宋_GB2312" w:hAnsi="仿宋_GB2312" w:eastAsia="仿宋_GB2312" w:cs="仿宋_GB2312"/>
          <w:sz w:val="34"/>
          <w:szCs w:val="34"/>
          <w:shd w:val="clear" w:fill="FFFFFF"/>
        </w:rPr>
        <w:t xml:space="preserve">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（3）面试期间，除必要时需摘除口罩以外，考生应全程规范佩戴符合防疫要求的蓝色医用口罩。</w:t>
      </w:r>
      <w:r>
        <w:rPr>
          <w:rStyle w:val="7"/>
          <w:rFonts w:hint="eastAsia" w:ascii="仿宋_GB2312" w:hAnsi="仿宋_GB2312" w:eastAsia="仿宋_GB2312" w:cs="仿宋_GB2312"/>
          <w:sz w:val="34"/>
          <w:szCs w:val="34"/>
          <w:shd w:val="clear" w:fill="FFFFFF"/>
        </w:rPr>
        <w:t xml:space="preserve">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（4）面试结束后，考生应按工作人员指示有序离场，不得拥挤，要保持安全距离。</w:t>
      </w:r>
      <w:r>
        <w:rPr>
          <w:rStyle w:val="7"/>
          <w:rFonts w:hint="eastAsia" w:ascii="仿宋_GB2312" w:hAnsi="仿宋_GB2312" w:eastAsia="仿宋_GB2312" w:cs="仿宋_GB2312"/>
          <w:sz w:val="34"/>
          <w:szCs w:val="34"/>
          <w:shd w:val="clear" w:fill="FFFFFF"/>
        </w:rPr>
        <w:t xml:space="preserve"> </w:t>
      </w:r>
    </w:p>
    <w:p>
      <w:pPr>
        <w:pStyle w:val="4"/>
        <w:keepNext w:val="0"/>
        <w:keepLines w:val="0"/>
        <w:widowControl/>
        <w:suppressLineNumbers w:val="0"/>
        <w:wordWrap w:val="0"/>
        <w:spacing w:before="0" w:beforeAutospacing="0" w:after="0" w:afterAutospacing="0"/>
        <w:ind w:left="0" w:right="0"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fill="FFFFFF"/>
        </w:rPr>
        <w:t xml:space="preserve">7.考生凡有虚假或不实承诺、隐瞒病史、隐瞒或谎报旅居史和接触史、自行服药隐瞒症状、瞒报漏报健康情况、逃避防疫措施、不配合工作人员进行防疫检测、询问等行为，一经发现，取消面试资格；如有违法情况，将依法追究法律责任。 </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lang w:eastAsia="zh-CN"/>
        </w:rPr>
      </w:pPr>
      <w:r>
        <w:rPr>
          <w:rFonts w:hint="eastAsia" w:ascii="仿宋_GB2312" w:hAnsi="仿宋_GB2312" w:eastAsia="仿宋_GB2312" w:cs="仿宋_GB2312"/>
          <w:sz w:val="34"/>
          <w:szCs w:val="34"/>
          <w:shd w:val="clear" w:fill="FFFFFF"/>
        </w:rPr>
        <w:t>8.本次面试疫情防控要求将根据国家及辽宁省</w:t>
      </w:r>
      <w:r>
        <w:rPr>
          <w:rFonts w:hint="eastAsia" w:ascii="仿宋_GB2312" w:hAnsi="仿宋_GB2312" w:eastAsia="仿宋_GB2312" w:cs="仿宋_GB2312"/>
          <w:sz w:val="34"/>
          <w:szCs w:val="34"/>
          <w:shd w:val="clear" w:fill="FFFFFF"/>
          <w:lang w:eastAsia="zh-CN"/>
        </w:rPr>
        <w:t>铁岭</w:t>
      </w:r>
      <w:r>
        <w:rPr>
          <w:rFonts w:hint="eastAsia" w:ascii="仿宋_GB2312" w:hAnsi="仿宋_GB2312" w:eastAsia="仿宋_GB2312" w:cs="仿宋_GB2312"/>
          <w:sz w:val="34"/>
          <w:szCs w:val="34"/>
          <w:shd w:val="clear" w:fill="FFFFFF"/>
        </w:rPr>
        <w:t>市疫情防控的总体部署和最新要求进行动态调整，请广大考生密切关注辽宁人事考试网</w:t>
      </w:r>
      <w:r>
        <w:rPr>
          <w:rFonts w:hint="eastAsia" w:ascii="仿宋_GB2312" w:hAnsi="仿宋_GB2312" w:eastAsia="仿宋_GB2312" w:cs="仿宋_GB2312"/>
          <w:sz w:val="34"/>
          <w:szCs w:val="34"/>
          <w:shd w:val="clear" w:fill="FFFFFF"/>
          <w:lang w:eastAsia="zh-CN"/>
        </w:rPr>
        <w:t xml:space="preserve">和铁岭市人力资源和社会保障网相关通知通告，保持报名时填报的手机号码畅通。 </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lang w:val="en-US" w:eastAsia="zh-CN"/>
        </w:rPr>
      </w:pPr>
      <w:r>
        <w:rPr>
          <w:rFonts w:hint="eastAsia" w:ascii="仿宋_GB2312" w:hAnsi="仿宋_GB2312" w:eastAsia="仿宋_GB2312" w:cs="仿宋_GB2312"/>
          <w:sz w:val="34"/>
          <w:szCs w:val="34"/>
          <w:shd w:val="clear" w:fill="FFFFFF"/>
          <w:lang w:val="en-US" w:eastAsia="zh-CN"/>
        </w:rPr>
        <w:t xml:space="preserve">        </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lang w:eastAsia="zh-CN"/>
        </w:rPr>
      </w:pPr>
      <w:r>
        <w:rPr>
          <w:rFonts w:hint="eastAsia" w:ascii="仿宋_GB2312" w:hAnsi="仿宋_GB2312" w:eastAsia="仿宋_GB2312" w:cs="仿宋_GB2312"/>
          <w:sz w:val="34"/>
          <w:szCs w:val="34"/>
          <w:shd w:val="clear" w:fill="FFFFFF"/>
          <w:lang w:val="en-US" w:eastAsia="zh-CN"/>
        </w:rPr>
        <w:t xml:space="preserve">                           </w:t>
      </w:r>
      <w:r>
        <w:rPr>
          <w:rFonts w:hint="eastAsia" w:ascii="仿宋_GB2312" w:hAnsi="仿宋_GB2312" w:eastAsia="仿宋_GB2312" w:cs="仿宋_GB2312"/>
          <w:sz w:val="34"/>
          <w:szCs w:val="34"/>
          <w:shd w:val="clear" w:fill="FFFFFF"/>
          <w:lang w:eastAsia="zh-CN"/>
        </w:rPr>
        <w:t>中共铁岭市委组织部 </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lang w:eastAsia="zh-CN"/>
        </w:rPr>
      </w:pPr>
      <w:r>
        <w:rPr>
          <w:rFonts w:hint="eastAsia" w:ascii="仿宋_GB2312" w:hAnsi="仿宋_GB2312" w:eastAsia="仿宋_GB2312" w:cs="仿宋_GB2312"/>
          <w:sz w:val="34"/>
          <w:szCs w:val="34"/>
          <w:shd w:val="clear" w:fill="FFFFFF"/>
          <w:lang w:eastAsia="zh-CN"/>
        </w:rPr>
        <w:t xml:space="preserve">                     </w:t>
      </w:r>
      <w:r>
        <w:rPr>
          <w:rFonts w:hint="eastAsia" w:ascii="仿宋_GB2312" w:hAnsi="仿宋_GB2312" w:eastAsia="仿宋_GB2312" w:cs="仿宋_GB2312"/>
          <w:sz w:val="34"/>
          <w:szCs w:val="34"/>
          <w:shd w:val="clear" w:fill="FFFFFF"/>
          <w:lang w:val="en-US" w:eastAsia="zh-CN"/>
        </w:rPr>
        <w:t xml:space="preserve">    </w:t>
      </w:r>
      <w:r>
        <w:rPr>
          <w:rFonts w:hint="eastAsia" w:ascii="仿宋_GB2312" w:hAnsi="仿宋_GB2312" w:eastAsia="仿宋_GB2312" w:cs="仿宋_GB2312"/>
          <w:sz w:val="34"/>
          <w:szCs w:val="34"/>
          <w:shd w:val="clear" w:fill="FFFFFF"/>
          <w:lang w:eastAsia="zh-CN"/>
        </w:rPr>
        <w:t>铁岭市疾病控制预防中心 </w:t>
      </w:r>
    </w:p>
    <w:p>
      <w:pPr>
        <w:pStyle w:val="4"/>
        <w:keepNext w:val="0"/>
        <w:keepLines w:val="0"/>
        <w:widowControl/>
        <w:suppressLineNumbers w:val="0"/>
        <w:wordWrap w:val="0"/>
        <w:spacing w:before="0" w:beforeAutospacing="0" w:after="0" w:afterAutospacing="0"/>
        <w:ind w:left="0" w:right="0" w:firstLine="680" w:firstLineChars="200"/>
        <w:jc w:val="left"/>
        <w:rPr>
          <w:rFonts w:hint="eastAsia" w:ascii="仿宋_GB2312" w:hAnsi="仿宋_GB2312" w:eastAsia="仿宋_GB2312" w:cs="仿宋_GB2312"/>
          <w:sz w:val="34"/>
          <w:szCs w:val="34"/>
          <w:shd w:val="clear" w:fill="FFFFFF"/>
          <w:lang w:eastAsia="zh-CN"/>
        </w:rPr>
      </w:pPr>
      <w:r>
        <w:rPr>
          <w:rFonts w:hint="eastAsia" w:ascii="仿宋_GB2312" w:hAnsi="仿宋_GB2312" w:eastAsia="仿宋_GB2312" w:cs="仿宋_GB2312"/>
          <w:sz w:val="34"/>
          <w:szCs w:val="34"/>
          <w:shd w:val="clear" w:fill="FFFFFF"/>
          <w:lang w:eastAsia="zh-CN"/>
        </w:rPr>
        <w:t xml:space="preserve">　　                    </w:t>
      </w:r>
      <w:r>
        <w:rPr>
          <w:rFonts w:hint="eastAsia" w:ascii="仿宋_GB2312" w:hAnsi="仿宋_GB2312" w:eastAsia="仿宋_GB2312" w:cs="仿宋_GB2312"/>
          <w:sz w:val="34"/>
          <w:szCs w:val="34"/>
          <w:shd w:val="clear" w:fill="FFFFFF"/>
          <w:lang w:val="en-US" w:eastAsia="zh-CN"/>
        </w:rPr>
        <w:t xml:space="preserve">   </w:t>
      </w:r>
      <w:r>
        <w:rPr>
          <w:rFonts w:hint="eastAsia" w:ascii="仿宋_GB2312" w:hAnsi="仿宋_GB2312" w:eastAsia="仿宋_GB2312" w:cs="仿宋_GB2312"/>
          <w:sz w:val="34"/>
          <w:szCs w:val="34"/>
          <w:shd w:val="clear" w:fill="FFFFFF"/>
          <w:lang w:eastAsia="zh-CN"/>
        </w:rPr>
        <w:t xml:space="preserve"> 2022年7月</w:t>
      </w:r>
      <w:r>
        <w:rPr>
          <w:rFonts w:hint="eastAsia" w:ascii="仿宋_GB2312" w:hAnsi="仿宋_GB2312" w:eastAsia="仿宋_GB2312" w:cs="仿宋_GB2312"/>
          <w:sz w:val="34"/>
          <w:szCs w:val="34"/>
          <w:shd w:val="clear" w:fill="FFFFFF"/>
          <w:lang w:val="en-US" w:eastAsia="zh-CN"/>
        </w:rPr>
        <w:t>25</w:t>
      </w:r>
      <w:r>
        <w:rPr>
          <w:rFonts w:hint="eastAsia" w:ascii="仿宋_GB2312" w:hAnsi="仿宋_GB2312" w:eastAsia="仿宋_GB2312" w:cs="仿宋_GB2312"/>
          <w:sz w:val="34"/>
          <w:szCs w:val="34"/>
          <w:shd w:val="clear" w:fill="FFFFFF"/>
          <w:lang w:eastAsia="zh-CN"/>
        </w:rPr>
        <w:t>日</w:t>
      </w:r>
    </w:p>
    <w:p>
      <w:pPr>
        <w:pStyle w:val="4"/>
        <w:keepNext w:val="0"/>
        <w:keepLines w:val="0"/>
        <w:widowControl/>
        <w:suppressLineNumbers w:val="0"/>
        <w:wordWrap w:val="0"/>
        <w:spacing w:before="0" w:beforeAutospacing="0" w:after="0" w:afterAutospacing="0"/>
        <w:ind w:left="0" w:right="0"/>
        <w:jc w:val="right"/>
        <w:rPr>
          <w:rFonts w:hint="eastAsia" w:ascii="仿宋_GB2312" w:hAnsi="仿宋_GB2312" w:eastAsia="仿宋_GB2312" w:cs="仿宋_GB2312"/>
          <w:sz w:val="34"/>
          <w:szCs w:val="34"/>
        </w:rPr>
      </w:pPr>
    </w:p>
    <w:p/>
    <w:sectPr>
      <w:headerReference r:id="rId3" w:type="default"/>
      <w:footerReference r:id="rId4" w:type="default"/>
      <w:pgSz w:w="11906" w:h="16838"/>
      <w:pgMar w:top="1701" w:right="1417" w:bottom="1417"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NzI4YjQ1ZDVlMjg2ZTFjODNkM2EzZmJiMjlkZTYifQ=="/>
  </w:docVars>
  <w:rsids>
    <w:rsidRoot w:val="00595A0B"/>
    <w:rsid w:val="00595A0B"/>
    <w:rsid w:val="02E3067E"/>
    <w:rsid w:val="0AED34D4"/>
    <w:rsid w:val="1E067C30"/>
    <w:rsid w:val="201457A7"/>
    <w:rsid w:val="337C2304"/>
    <w:rsid w:val="58BA59CD"/>
    <w:rsid w:val="6C88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rFonts w:hint="eastAsia" w:ascii="Arial" w:hAnsi="Arial" w:eastAsia="微软雅黑" w:cs="Arial"/>
      <w:kern w:val="0"/>
      <w:sz w:val="24"/>
      <w:lang w:val="en-US" w:eastAsia="zh-CN" w:bidi="ar"/>
    </w:rPr>
  </w:style>
  <w:style w:type="character" w:styleId="7">
    <w:name w:val="Strong"/>
    <w:basedOn w:val="6"/>
    <w:qFormat/>
    <w:uiPriority w:val="0"/>
    <w:rPr>
      <w:b/>
      <w:bCs/>
    </w:rPr>
  </w:style>
  <w:style w:type="character" w:styleId="8">
    <w:name w:val="FollowedHyperlink"/>
    <w:basedOn w:val="6"/>
    <w:uiPriority w:val="0"/>
    <w:rPr>
      <w:rFonts w:hint="default" w:ascii="Arial" w:hAnsi="Arial" w:eastAsia="微软雅黑" w:cs="Arial"/>
      <w:color w:val="800080"/>
      <w:u w:val="none"/>
    </w:rPr>
  </w:style>
  <w:style w:type="character" w:styleId="9">
    <w:name w:val="Emphasis"/>
    <w:basedOn w:val="6"/>
    <w:qFormat/>
    <w:uiPriority w:val="0"/>
    <w:rPr>
      <w:b/>
      <w:bCs/>
      <w:color w:val="CC0000"/>
    </w:rPr>
  </w:style>
  <w:style w:type="character" w:styleId="10">
    <w:name w:val="Hyperlink"/>
    <w:basedOn w:val="6"/>
    <w:uiPriority w:val="0"/>
    <w:rPr>
      <w:rFonts w:hint="default" w:ascii="Arial" w:hAnsi="Arial" w:eastAsia="微软雅黑" w:cs="Arial"/>
      <w:color w:val="333333"/>
      <w:u w:val="none"/>
      <w:bdr w:val="single" w:color="CCCCCC" w:sz="6" w:space="0"/>
    </w:rPr>
  </w:style>
  <w:style w:type="character" w:customStyle="1" w:styleId="11">
    <w:name w:val="home"/>
    <w:basedOn w:val="6"/>
    <w:uiPriority w:val="0"/>
    <w:rPr>
      <w:vanish/>
    </w:rPr>
  </w:style>
  <w:style w:type="character" w:customStyle="1" w:styleId="12">
    <w:name w:val="disabled"/>
    <w:basedOn w:val="6"/>
    <w:uiPriority w:val="0"/>
    <w:rPr>
      <w:color w:val="FFFFFF"/>
      <w:bdr w:val="single" w:color="3D6BB7" w:sz="6" w:space="0"/>
      <w:shd w:val="clear" w:fill="3D6BB7"/>
    </w:rPr>
  </w:style>
  <w:style w:type="character" w:customStyle="1" w:styleId="13">
    <w:name w:val="end"/>
    <w:basedOn w:val="6"/>
    <w:uiPriority w:val="0"/>
    <w:rPr>
      <w:vanish/>
    </w:rPr>
  </w:style>
  <w:style w:type="character" w:customStyle="1" w:styleId="14">
    <w:name w:val="current"/>
    <w:basedOn w:val="6"/>
    <w:qFormat/>
    <w:uiPriority w:val="0"/>
    <w:rPr>
      <w:color w:val="363636"/>
      <w:bdr w:val="single" w:color="F2F2F2" w:sz="6" w:space="0"/>
    </w:rPr>
  </w:style>
  <w:style w:type="character" w:customStyle="1" w:styleId="15">
    <w:name w:val="bgmenuhove2"/>
    <w:basedOn w:val="6"/>
    <w:uiPriority w:val="0"/>
    <w:rPr>
      <w:color w:val="EDDC0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2297</Words>
  <Characters>2331</Characters>
  <Lines>0</Lines>
  <Paragraphs>0</Paragraphs>
  <TotalTime>0</TotalTime>
  <ScaleCrop>false</ScaleCrop>
  <LinksUpToDate>false</LinksUpToDate>
  <CharactersWithSpaces>2430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2022-07-25T08:11:00Z</dcterms:created>
  <dc:creator>□新</dc:creator>
  <cp:lastModifiedBy>□新</cp:lastModifiedBy>
  <dcterms:modified xsi:type="dcterms:W3CDTF">2022-07-27T05:48:49Z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754E80A991C542FA9A891679387D9B81</vt:lpwstr>
  </property>
</Properties>
</file>