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cs="黑体"/>
          <w:sz w:val="28"/>
          <w:szCs w:val="28"/>
        </w:rPr>
      </w:pPr>
      <w:r>
        <w:rPr>
          <w:rFonts w:hint="eastAsia" w:ascii="黑体" w:hAnsi="宋体" w:eastAsia="黑体" w:cs="黑体"/>
          <w:sz w:val="28"/>
          <w:szCs w:val="28"/>
        </w:rPr>
        <w:t>附件</w:t>
      </w:r>
      <w:r>
        <w:rPr>
          <w:rFonts w:ascii="黑体" w:hAnsi="宋体" w:eastAsia="黑体" w:cs="黑体"/>
          <w:sz w:val="28"/>
          <w:szCs w:val="28"/>
        </w:rPr>
        <w:t>1</w:t>
      </w:r>
      <w:r>
        <w:rPr>
          <w:rFonts w:hint="eastAsia" w:ascii="黑体" w:hAnsi="宋体" w:eastAsia="黑体" w:cs="黑体"/>
          <w:sz w:val="28"/>
          <w:szCs w:val="28"/>
        </w:rPr>
        <w:t>：</w:t>
      </w:r>
    </w:p>
    <w:p>
      <w:pPr>
        <w:spacing w:beforeLines="100" w:afterLines="100" w:line="440" w:lineRule="exact"/>
        <w:jc w:val="center"/>
        <w:rPr>
          <w:rFonts w:ascii="宋体" w:hAnsi="宋体" w:cs="宋体"/>
          <w:b/>
          <w:bCs/>
          <w:sz w:val="36"/>
          <w:szCs w:val="36"/>
        </w:rPr>
      </w:pPr>
      <w:r>
        <w:rPr>
          <w:rFonts w:hint="eastAsia" w:ascii="宋体" w:hAnsi="宋体" w:cs="宋体"/>
          <w:b/>
          <w:bCs/>
          <w:sz w:val="36"/>
          <w:szCs w:val="36"/>
        </w:rPr>
        <w:t>潍坊工程职业学院</w:t>
      </w:r>
      <w:r>
        <w:rPr>
          <w:rFonts w:ascii="宋体" w:hAnsi="宋体" w:cs="宋体"/>
          <w:b/>
          <w:bCs/>
          <w:sz w:val="36"/>
          <w:szCs w:val="36"/>
        </w:rPr>
        <w:t>201</w:t>
      </w:r>
      <w:r>
        <w:rPr>
          <w:rFonts w:hint="eastAsia" w:ascii="宋体" w:hAnsi="宋体" w:cs="宋体"/>
          <w:b/>
          <w:bCs/>
          <w:sz w:val="36"/>
          <w:szCs w:val="36"/>
        </w:rPr>
        <w:t>9年高层次人才引进（招聘）岗位汇总表</w:t>
      </w:r>
    </w:p>
    <w:tbl>
      <w:tblPr>
        <w:tblStyle w:val="6"/>
        <w:tblW w:w="1496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5"/>
        <w:gridCol w:w="709"/>
        <w:gridCol w:w="802"/>
        <w:gridCol w:w="871"/>
        <w:gridCol w:w="1128"/>
        <w:gridCol w:w="4950"/>
        <w:gridCol w:w="373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tblHeader/>
        </w:trPr>
        <w:tc>
          <w:tcPr>
            <w:tcW w:w="709"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275"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岗位名称</w:t>
            </w:r>
          </w:p>
        </w:tc>
        <w:tc>
          <w:tcPr>
            <w:tcW w:w="709"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人数</w:t>
            </w:r>
          </w:p>
        </w:tc>
        <w:tc>
          <w:tcPr>
            <w:tcW w:w="802"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学历</w:t>
            </w:r>
          </w:p>
        </w:tc>
        <w:tc>
          <w:tcPr>
            <w:tcW w:w="871"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学位</w:t>
            </w:r>
          </w:p>
        </w:tc>
        <w:tc>
          <w:tcPr>
            <w:tcW w:w="1128"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专业技术职务</w:t>
            </w:r>
          </w:p>
        </w:tc>
        <w:tc>
          <w:tcPr>
            <w:tcW w:w="4950"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专业要求</w:t>
            </w:r>
          </w:p>
        </w:tc>
        <w:tc>
          <w:tcPr>
            <w:tcW w:w="3732"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其他条件要求</w:t>
            </w:r>
          </w:p>
        </w:tc>
        <w:tc>
          <w:tcPr>
            <w:tcW w:w="787"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09" w:type="dxa"/>
            <w:vMerge w:val="continue"/>
            <w:tcBorders>
              <w:tl2br w:val="nil"/>
              <w:tr2bl w:val="nil"/>
            </w:tcBorders>
            <w:vAlign w:val="center"/>
          </w:tcPr>
          <w:p>
            <w:pPr>
              <w:widowControl/>
              <w:jc w:val="left"/>
              <w:rPr>
                <w:rFonts w:ascii="黑体" w:hAnsi="黑体" w:eastAsia="黑体" w:cs="宋体"/>
                <w:kern w:val="0"/>
                <w:sz w:val="28"/>
                <w:szCs w:val="28"/>
              </w:rPr>
            </w:pPr>
          </w:p>
        </w:tc>
        <w:tc>
          <w:tcPr>
            <w:tcW w:w="1275" w:type="dxa"/>
            <w:vMerge w:val="continue"/>
            <w:tcBorders>
              <w:tl2br w:val="nil"/>
              <w:tr2bl w:val="nil"/>
            </w:tcBorders>
            <w:vAlign w:val="center"/>
          </w:tcPr>
          <w:p>
            <w:pPr>
              <w:widowControl/>
              <w:jc w:val="left"/>
              <w:rPr>
                <w:rFonts w:ascii="黑体" w:hAnsi="黑体" w:eastAsia="黑体" w:cs="宋体"/>
                <w:kern w:val="0"/>
                <w:sz w:val="28"/>
                <w:szCs w:val="28"/>
              </w:rPr>
            </w:pPr>
          </w:p>
        </w:tc>
        <w:tc>
          <w:tcPr>
            <w:tcW w:w="709" w:type="dxa"/>
            <w:vMerge w:val="continue"/>
            <w:tcBorders>
              <w:tl2br w:val="nil"/>
              <w:tr2bl w:val="nil"/>
            </w:tcBorders>
            <w:vAlign w:val="center"/>
          </w:tcPr>
          <w:p>
            <w:pPr>
              <w:widowControl/>
              <w:jc w:val="left"/>
              <w:rPr>
                <w:rFonts w:ascii="黑体" w:hAnsi="黑体" w:eastAsia="黑体" w:cs="宋体"/>
                <w:kern w:val="0"/>
                <w:sz w:val="28"/>
                <w:szCs w:val="28"/>
              </w:rPr>
            </w:pPr>
          </w:p>
        </w:tc>
        <w:tc>
          <w:tcPr>
            <w:tcW w:w="802" w:type="dxa"/>
            <w:vMerge w:val="continue"/>
            <w:tcBorders>
              <w:tl2br w:val="nil"/>
              <w:tr2bl w:val="nil"/>
            </w:tcBorders>
            <w:vAlign w:val="center"/>
          </w:tcPr>
          <w:p>
            <w:pPr>
              <w:widowControl/>
              <w:jc w:val="left"/>
              <w:rPr>
                <w:rFonts w:ascii="黑体" w:hAnsi="黑体" w:eastAsia="黑体" w:cs="宋体"/>
                <w:kern w:val="0"/>
                <w:sz w:val="28"/>
                <w:szCs w:val="28"/>
              </w:rPr>
            </w:pPr>
          </w:p>
        </w:tc>
        <w:tc>
          <w:tcPr>
            <w:tcW w:w="871" w:type="dxa"/>
            <w:vMerge w:val="continue"/>
            <w:tcBorders>
              <w:tl2br w:val="nil"/>
              <w:tr2bl w:val="nil"/>
            </w:tcBorders>
            <w:vAlign w:val="center"/>
          </w:tcPr>
          <w:p>
            <w:pPr>
              <w:widowControl/>
              <w:jc w:val="left"/>
              <w:rPr>
                <w:rFonts w:ascii="黑体" w:hAnsi="黑体" w:eastAsia="黑体" w:cs="宋体"/>
                <w:kern w:val="0"/>
                <w:sz w:val="28"/>
                <w:szCs w:val="28"/>
              </w:rPr>
            </w:pPr>
          </w:p>
        </w:tc>
        <w:tc>
          <w:tcPr>
            <w:tcW w:w="1128" w:type="dxa"/>
            <w:vMerge w:val="continue"/>
            <w:tcBorders>
              <w:tl2br w:val="nil"/>
              <w:tr2bl w:val="nil"/>
            </w:tcBorders>
            <w:vAlign w:val="center"/>
          </w:tcPr>
          <w:p>
            <w:pPr>
              <w:widowControl/>
              <w:jc w:val="left"/>
              <w:rPr>
                <w:rFonts w:ascii="黑体" w:hAnsi="黑体" w:eastAsia="黑体" w:cs="宋体"/>
                <w:kern w:val="0"/>
                <w:sz w:val="28"/>
                <w:szCs w:val="28"/>
              </w:rPr>
            </w:pPr>
          </w:p>
        </w:tc>
        <w:tc>
          <w:tcPr>
            <w:tcW w:w="4950" w:type="dxa"/>
            <w:vMerge w:val="continue"/>
            <w:tcBorders>
              <w:tl2br w:val="nil"/>
              <w:tr2bl w:val="nil"/>
            </w:tcBorders>
            <w:vAlign w:val="center"/>
          </w:tcPr>
          <w:p>
            <w:pPr>
              <w:widowControl/>
              <w:jc w:val="left"/>
              <w:rPr>
                <w:rFonts w:ascii="黑体" w:hAnsi="黑体" w:eastAsia="黑体" w:cs="宋体"/>
                <w:kern w:val="0"/>
                <w:sz w:val="28"/>
                <w:szCs w:val="28"/>
              </w:rPr>
            </w:pPr>
          </w:p>
        </w:tc>
        <w:tc>
          <w:tcPr>
            <w:tcW w:w="3732" w:type="dxa"/>
            <w:vMerge w:val="continue"/>
            <w:tcBorders>
              <w:tl2br w:val="nil"/>
              <w:tr2bl w:val="nil"/>
            </w:tcBorders>
            <w:vAlign w:val="center"/>
          </w:tcPr>
          <w:p>
            <w:pPr>
              <w:widowControl/>
              <w:jc w:val="left"/>
              <w:rPr>
                <w:rFonts w:ascii="黑体" w:hAnsi="黑体" w:eastAsia="黑体" w:cs="宋体"/>
                <w:kern w:val="0"/>
                <w:sz w:val="28"/>
                <w:szCs w:val="28"/>
              </w:rPr>
            </w:pPr>
          </w:p>
        </w:tc>
        <w:tc>
          <w:tcPr>
            <w:tcW w:w="787" w:type="dxa"/>
            <w:vMerge w:val="continue"/>
            <w:tcBorders>
              <w:tl2br w:val="nil"/>
              <w:tr2bl w:val="nil"/>
            </w:tcBorders>
            <w:vAlign w:val="center"/>
          </w:tcPr>
          <w:p>
            <w:pPr>
              <w:widowControl/>
              <w:jc w:val="left"/>
              <w:rPr>
                <w:rFonts w:ascii="黑体" w:hAnsi="黑体" w:eastAsia="黑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3"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275"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专任教师（博士）</w:t>
            </w:r>
          </w:p>
        </w:tc>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博士</w:t>
            </w:r>
          </w:p>
        </w:tc>
        <w:tc>
          <w:tcPr>
            <w:tcW w:w="1128" w:type="dxa"/>
            <w:tcBorders>
              <w:tl2br w:val="nil"/>
              <w:tr2bl w:val="nil"/>
            </w:tcBorders>
            <w:shd w:val="clear" w:color="auto" w:fill="auto"/>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　</w:t>
            </w:r>
          </w:p>
        </w:tc>
        <w:tc>
          <w:tcPr>
            <w:tcW w:w="4950" w:type="dxa"/>
            <w:tcBorders>
              <w:tl2br w:val="nil"/>
              <w:tr2bl w:val="nil"/>
            </w:tcBorders>
            <w:shd w:val="clear" w:color="auto" w:fill="auto"/>
            <w:vAlign w:val="center"/>
          </w:tcPr>
          <w:p>
            <w:pPr>
              <w:widowControl/>
              <w:snapToGrid w:val="0"/>
              <w:spacing w:line="300" w:lineRule="exact"/>
              <w:ind w:firstLine="482"/>
              <w:jc w:val="left"/>
              <w:rPr>
                <w:rFonts w:ascii="仿宋_GB2312" w:eastAsia="仿宋_GB2312" w:cs="仿宋_GB2312"/>
                <w:kern w:val="0"/>
                <w:sz w:val="22"/>
                <w:szCs w:val="22"/>
              </w:rPr>
            </w:pPr>
            <w:r>
              <w:rPr>
                <w:rFonts w:hint="eastAsia" w:ascii="仿宋_GB2312" w:eastAsia="仿宋_GB2312" w:cs="仿宋_GB2312"/>
                <w:kern w:val="0"/>
                <w:sz w:val="22"/>
                <w:szCs w:val="22"/>
              </w:rPr>
              <w:t>学院教学和专业建设发展急需的专业，包括学前教育学、教育学、心理学等学前教育相关专业；机械工程、机械制造及其自动化、车辆工程、</w:t>
            </w:r>
            <w:r>
              <w:rPr>
                <w:rFonts w:hint="eastAsia" w:ascii="仿宋_GB2312" w:hAnsi="仿宋_GB2312" w:eastAsia="仿宋_GB2312" w:cs="仿宋_GB2312"/>
                <w:color w:val="111111"/>
                <w:sz w:val="22"/>
                <w:szCs w:val="22"/>
              </w:rPr>
              <w:t>机械电子工程</w:t>
            </w:r>
            <w:r>
              <w:rPr>
                <w:rFonts w:hint="eastAsia" w:ascii="仿宋_GB2312" w:eastAsia="仿宋_GB2312" w:cs="仿宋_GB2312"/>
                <w:kern w:val="0"/>
                <w:sz w:val="22"/>
                <w:szCs w:val="22"/>
              </w:rPr>
              <w:t>、电机与电器等机械、电子类相关专业；航空宇航制造工程等航空类专业；国际贸易、工商管理、财务管理、会计学、旅游管理等经管旅游类相关专业；风景园林、</w:t>
            </w:r>
            <w:r>
              <w:rPr>
                <w:rFonts w:ascii="仿宋_GB2312" w:eastAsia="仿宋_GB2312" w:cs="仿宋_GB2312"/>
                <w:kern w:val="0"/>
                <w:sz w:val="22"/>
                <w:szCs w:val="22"/>
              </w:rPr>
              <w:t>园林植物与观赏园艺</w:t>
            </w:r>
            <w:r>
              <w:rPr>
                <w:rFonts w:hint="eastAsia" w:ascii="仿宋_GB2312" w:eastAsia="仿宋_GB2312" w:cs="仿宋_GB2312"/>
                <w:kern w:val="0"/>
                <w:sz w:val="22"/>
                <w:szCs w:val="22"/>
              </w:rPr>
              <w:t>、果树学、蔬菜学等园林花卉相关专业；语言学及应用语言学、汉语言文字学等中国语言文学相关专业；建筑学、结构工程、岩土工程、市政工程等建筑土木类相关专业；化学工程、</w:t>
            </w:r>
            <w:r>
              <w:rPr>
                <w:rFonts w:hint="eastAsia" w:ascii="仿宋_GB2312" w:hAnsi="仿宋_GB2312" w:eastAsia="仿宋_GB2312" w:cs="仿宋_GB2312"/>
                <w:color w:val="111111"/>
                <w:sz w:val="22"/>
                <w:szCs w:val="22"/>
              </w:rPr>
              <w:t>应用化学</w:t>
            </w:r>
            <w:r>
              <w:rPr>
                <w:rFonts w:hint="eastAsia" w:ascii="仿宋_GB2312" w:eastAsia="仿宋_GB2312" w:cs="仿宋_GB2312"/>
                <w:kern w:val="0"/>
                <w:sz w:val="22"/>
                <w:szCs w:val="22"/>
              </w:rPr>
              <w:t>、药物化学等化工、生化制药相关专业；食品科学、</w:t>
            </w:r>
            <w:r>
              <w:rPr>
                <w:rFonts w:ascii="仿宋_GB2312" w:eastAsia="仿宋_GB2312" w:cs="仿宋_GB2312"/>
                <w:kern w:val="0"/>
                <w:sz w:val="22"/>
                <w:szCs w:val="22"/>
              </w:rPr>
              <w:t>农产品加工及贮藏工程</w:t>
            </w:r>
            <w:r>
              <w:rPr>
                <w:rFonts w:hint="eastAsia" w:ascii="仿宋_GB2312" w:eastAsia="仿宋_GB2312" w:cs="仿宋_GB2312"/>
                <w:kern w:val="0"/>
                <w:sz w:val="22"/>
                <w:szCs w:val="22"/>
              </w:rPr>
              <w:t>等食品科学类相关专业；计算机应用技术、</w:t>
            </w:r>
            <w:r>
              <w:rPr>
                <w:rFonts w:ascii="仿宋_GB2312" w:eastAsia="仿宋_GB2312" w:cs="仿宋_GB2312"/>
                <w:kern w:val="0"/>
                <w:sz w:val="22"/>
                <w:szCs w:val="22"/>
              </w:rPr>
              <w:t>计算机系统结构</w:t>
            </w:r>
            <w:r>
              <w:rPr>
                <w:rFonts w:hint="eastAsia" w:ascii="仿宋_GB2312" w:eastAsia="仿宋_GB2312" w:cs="仿宋_GB2312"/>
                <w:kern w:val="0"/>
                <w:sz w:val="22"/>
                <w:szCs w:val="22"/>
              </w:rPr>
              <w:t>、</w:t>
            </w:r>
            <w:r>
              <w:rPr>
                <w:rFonts w:ascii="仿宋_GB2312" w:eastAsia="仿宋_GB2312" w:cs="仿宋_GB2312"/>
                <w:kern w:val="0"/>
                <w:sz w:val="22"/>
                <w:szCs w:val="22"/>
              </w:rPr>
              <w:t>计算机软件与理论</w:t>
            </w:r>
            <w:r>
              <w:rPr>
                <w:rFonts w:hint="eastAsia" w:ascii="仿宋_GB2312" w:eastAsia="仿宋_GB2312" w:cs="仿宋_GB2312"/>
                <w:kern w:val="0"/>
                <w:sz w:val="22"/>
                <w:szCs w:val="22"/>
              </w:rPr>
              <w:t>、</w:t>
            </w:r>
            <w:r>
              <w:rPr>
                <w:rFonts w:ascii="仿宋_GB2312" w:eastAsia="仿宋_GB2312" w:cs="仿宋_GB2312"/>
                <w:kern w:val="0"/>
                <w:sz w:val="22"/>
                <w:szCs w:val="22"/>
              </w:rPr>
              <w:t>通信与信息系统</w:t>
            </w:r>
            <w:r>
              <w:rPr>
                <w:rFonts w:hint="eastAsia" w:ascii="仿宋_GB2312" w:eastAsia="仿宋_GB2312" w:cs="仿宋_GB2312"/>
                <w:kern w:val="0"/>
                <w:sz w:val="22"/>
                <w:szCs w:val="22"/>
              </w:rPr>
              <w:t>等计算机、通信类相关专业；计算数学、统计学等数学类相关专业；英语语言文学、外国语言学及应用语言学等英语类相关专业；设计艺术学、美术学、音乐学、舞蹈学等艺术类相关专业；</w:t>
            </w:r>
            <w:r>
              <w:rPr>
                <w:rFonts w:ascii="仿宋_GB2312" w:eastAsia="仿宋_GB2312" w:cs="仿宋_GB2312"/>
                <w:kern w:val="0"/>
                <w:sz w:val="22"/>
                <w:szCs w:val="22"/>
              </w:rPr>
              <w:t>马克思主义理论</w:t>
            </w:r>
            <w:r>
              <w:rPr>
                <w:rFonts w:hint="eastAsia" w:ascii="仿宋_GB2312" w:eastAsia="仿宋_GB2312" w:cs="仿宋_GB2312"/>
                <w:kern w:val="0"/>
                <w:sz w:val="22"/>
                <w:szCs w:val="22"/>
              </w:rPr>
              <w:t>、法学等思政法律类相关专业等，具体根据申报人员所学专业由学院进行审核确定。</w:t>
            </w:r>
          </w:p>
        </w:tc>
        <w:tc>
          <w:tcPr>
            <w:tcW w:w="3732" w:type="dxa"/>
            <w:tcBorders>
              <w:tl2br w:val="nil"/>
              <w:tr2bl w:val="nil"/>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1.具有博士研究生学历、博士学位；</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2.具备教育教学的基本素质与能力。</w:t>
            </w:r>
          </w:p>
        </w:tc>
        <w:tc>
          <w:tcPr>
            <w:tcW w:w="787"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学前教育理论课教师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正高级专业技术职务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不限</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当前从事学前教育专业的教学或研究工作。</w:t>
            </w:r>
          </w:p>
        </w:tc>
        <w:tc>
          <w:tcPr>
            <w:tcW w:w="787"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经济管理专业教师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正高级专业技术职务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市场营销、物流管理、电子商务、区域经济、产业经济等经济类相关专业</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主持过省级及以上教科研项目或参加国家级一类技能大赛获二等奖以上的第一参与者，或主持、参与（前二位）职业院校国家级重要质量工程项目。</w:t>
            </w:r>
          </w:p>
        </w:tc>
        <w:tc>
          <w:tcPr>
            <w:tcW w:w="787"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旅游管理专业教师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旅游管理 </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1.旅游管理专业行业背景，有丰厚的学科积累，有较强的教学科研水平，能够紧密对接国家政策引领专业内涵发展；</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2.具有2年以上高校教学或企业工作经验；</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3.高校教师需具有省级及以上科研成果或第一位参加国家级一类技能大赛获二等奖以上，企业人员需承担企业重要岗位的重要职务，对企业发展起关键作用。</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1275"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机电一体化专业教师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机械电子工程、机械制造及其自动化、电机与电器、检测技术与自动化装置、控制理论与控制工程、电力系统及其自动化、车辆工程、载运工具运用工程</w:t>
            </w:r>
          </w:p>
        </w:tc>
        <w:tc>
          <w:tcPr>
            <w:tcW w:w="3732" w:type="dxa"/>
            <w:tcBorders>
              <w:tl2br w:val="nil"/>
              <w:tr2bl w:val="nil"/>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需为省级教学名师、省级技能名师、省级有突出贡献中青年专家、</w:t>
            </w:r>
            <w:r>
              <w:rPr>
                <w:rFonts w:hint="eastAsia" w:ascii="仿宋_GB2312" w:hAnsi="宋体" w:eastAsia="仿宋_GB2312" w:cs="宋体"/>
                <w:kern w:val="0"/>
                <w:sz w:val="22"/>
                <w:szCs w:val="22"/>
                <w:lang w:eastAsia="zh-CN"/>
              </w:rPr>
              <w:t>设区的</w:t>
            </w:r>
            <w:bookmarkStart w:id="0" w:name="_GoBack"/>
            <w:bookmarkEnd w:id="0"/>
            <w:r>
              <w:rPr>
                <w:rFonts w:hint="eastAsia" w:ascii="仿宋_GB2312" w:hAnsi="宋体" w:eastAsia="仿宋_GB2312" w:cs="宋体"/>
                <w:kern w:val="0"/>
                <w:sz w:val="22"/>
                <w:szCs w:val="22"/>
              </w:rPr>
              <w:t>市级以上科技进步一等奖获得者或国家级一类技能大赛一等奖获得者。</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1275"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工业机器人专业教师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机械电子工程、模式识别与智能系统、动力机械及工程、电机与电器、检测技术与自动化装置、控制理论与控制工程、电力系统及其自动化</w:t>
            </w:r>
          </w:p>
        </w:tc>
        <w:tc>
          <w:tcPr>
            <w:tcW w:w="3732" w:type="dxa"/>
            <w:tcBorders>
              <w:tl2br w:val="nil"/>
              <w:tr2bl w:val="nil"/>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color w:val="000000"/>
                <w:kern w:val="0"/>
                <w:sz w:val="22"/>
                <w:szCs w:val="22"/>
              </w:rPr>
              <w:t>具有2年以上教学科研或企业一线专业工作经历。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软件设计开发专业教师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计算机系统结构、计算机软件与理论、计算机应用技术</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具有2年以上教学科研或企业一线专业工作经历。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电子产品设计开发专业教师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电路与系统,控制理论与控制工程,检测技术与自动化装置,系统工程</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具有2年以上教学科研或企业一线专业工作经历。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园林工程技术专业教师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风景园林、土木工程</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具有2年以上园林景观设计、施工工作经历。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园艺技术专业教师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园艺、农学</w:t>
            </w:r>
          </w:p>
        </w:tc>
        <w:tc>
          <w:tcPr>
            <w:tcW w:w="3732" w:type="dxa"/>
            <w:tcBorders>
              <w:tl2br w:val="nil"/>
              <w:tr2bl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具有2年以上花卉、蔬菜等现代农业技术工作经历。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1275"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建筑专业专任教师</w:t>
            </w:r>
          </w:p>
        </w:tc>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学士及以上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themeColor="text1"/>
                <w:kern w:val="0"/>
                <w:sz w:val="22"/>
                <w:szCs w:val="22"/>
              </w:rPr>
            </w:pPr>
            <w:r>
              <w:rPr>
                <w:rFonts w:hint="eastAsia" w:ascii="仿宋_GB2312" w:hAnsi="宋体" w:eastAsia="仿宋_GB2312" w:cs="宋体"/>
                <w:color w:val="000000" w:themeColor="text1"/>
                <w:kern w:val="0"/>
                <w:sz w:val="22"/>
                <w:szCs w:val="22"/>
              </w:rPr>
              <w:t>土木工程、工程管理、材料学</w:t>
            </w:r>
          </w:p>
        </w:tc>
        <w:tc>
          <w:tcPr>
            <w:tcW w:w="3732" w:type="dxa"/>
            <w:tcBorders>
              <w:tl2br w:val="nil"/>
              <w:tr2bl w:val="nil"/>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1.具有2年以上企业行业工作经历；2.具有建筑行业内最高等级执业资格证书。</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1275"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飞机机电设备维修专业教师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航空工程机务维修、航空机电维修、交通运输（民航机务工程方向）、航空维修工程与管理</w:t>
            </w:r>
          </w:p>
        </w:tc>
        <w:tc>
          <w:tcPr>
            <w:tcW w:w="3732" w:type="dxa"/>
            <w:tcBorders>
              <w:tl2br w:val="nil"/>
              <w:tr2bl w:val="nil"/>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具有2年以上航空机务维修工作经历。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1275"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食品药品专业教师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学士及以上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食品科学与工程、食品加工技术、食品质量与安全、药学、药物化学、制药工程</w:t>
            </w:r>
          </w:p>
        </w:tc>
        <w:tc>
          <w:tcPr>
            <w:tcW w:w="3732" w:type="dxa"/>
            <w:tcBorders>
              <w:tl2br w:val="nil"/>
              <w:tr2bl w:val="nil"/>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具有2年以上企业专业工作经历。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1275" w:type="dxa"/>
            <w:tcBorders>
              <w:tl2br w:val="nil"/>
              <w:tr2bl w:val="nil"/>
            </w:tcBorders>
            <w:shd w:val="clear" w:color="auto" w:fill="auto"/>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会计专业教师</w:t>
            </w:r>
          </w:p>
        </w:tc>
        <w:tc>
          <w:tcPr>
            <w:tcW w:w="709" w:type="dxa"/>
            <w:tcBorders>
              <w:tl2br w:val="nil"/>
              <w:tr2bl w:val="nil"/>
            </w:tcBorders>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研究生</w:t>
            </w:r>
          </w:p>
        </w:tc>
        <w:tc>
          <w:tcPr>
            <w:tcW w:w="871"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kern w:val="0"/>
                <w:sz w:val="22"/>
                <w:szCs w:val="22"/>
              </w:rPr>
              <w:t>硕士及以上</w:t>
            </w:r>
          </w:p>
        </w:tc>
        <w:tc>
          <w:tcPr>
            <w:tcW w:w="1128" w:type="dxa"/>
            <w:tcBorders>
              <w:tl2br w:val="nil"/>
              <w:tr2bl w:val="nil"/>
            </w:tcBorders>
            <w:shd w:val="clear" w:color="auto" w:fill="auto"/>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副高及以上专业技术职务</w:t>
            </w:r>
          </w:p>
        </w:tc>
        <w:tc>
          <w:tcPr>
            <w:tcW w:w="4950" w:type="dxa"/>
            <w:tcBorders>
              <w:tl2br w:val="nil"/>
              <w:tr2bl w:val="nil"/>
            </w:tcBorders>
            <w:shd w:val="clear" w:color="auto" w:fill="auto"/>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会计学，财务管理，企业管理，审计，金融</w:t>
            </w:r>
          </w:p>
        </w:tc>
        <w:tc>
          <w:tcPr>
            <w:tcW w:w="3732" w:type="dxa"/>
            <w:tcBorders>
              <w:tl2br w:val="nil"/>
              <w:tr2bl w:val="nil"/>
            </w:tcBorders>
            <w:shd w:val="clear" w:color="auto" w:fill="auto"/>
            <w:vAlign w:val="center"/>
          </w:tcPr>
          <w:p>
            <w:pPr>
              <w:rPr>
                <w:rFonts w:ascii="宋体" w:hAnsi="宋体" w:cs="宋体"/>
                <w:color w:val="000000"/>
                <w:sz w:val="22"/>
                <w:szCs w:val="22"/>
              </w:rPr>
            </w:pPr>
            <w:r>
              <w:rPr>
                <w:rFonts w:hint="eastAsia" w:ascii="仿宋_GB2312" w:hAnsi="宋体" w:eastAsia="仿宋_GB2312" w:cs="宋体"/>
                <w:color w:val="000000"/>
                <w:kern w:val="0"/>
                <w:sz w:val="22"/>
                <w:szCs w:val="22"/>
              </w:rPr>
              <w:t>具有2年以上企业专业工作经历。</w:t>
            </w:r>
          </w:p>
        </w:tc>
        <w:tc>
          <w:tcPr>
            <w:tcW w:w="787" w:type="dxa"/>
            <w:tcBorders>
              <w:tl2br w:val="nil"/>
              <w:tr2bl w:val="nil"/>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汽车维修专业教师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硕士及以上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交通运输、车辆工程、汽车服务工程、轨道交通信号与控制</w:t>
            </w:r>
          </w:p>
        </w:tc>
        <w:tc>
          <w:tcPr>
            <w:tcW w:w="373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具有2年以上教学科研或企业专业工作经历。　</w:t>
            </w:r>
          </w:p>
        </w:tc>
        <w:tc>
          <w:tcPr>
            <w:tcW w:w="787" w:type="dxa"/>
            <w:tcBorders>
              <w:tl2br w:val="nil"/>
              <w:tr2bl w:val="nil"/>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1275"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汽车电气专业教师</w:t>
            </w:r>
          </w:p>
        </w:tc>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0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本科及以上</w:t>
            </w:r>
          </w:p>
        </w:tc>
        <w:tc>
          <w:tcPr>
            <w:tcW w:w="871"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学士及以上</w:t>
            </w:r>
          </w:p>
        </w:tc>
        <w:tc>
          <w:tcPr>
            <w:tcW w:w="1128"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kern w:val="0"/>
                <w:sz w:val="22"/>
                <w:szCs w:val="22"/>
              </w:rPr>
              <w:t>副高及以上专业技术职务</w:t>
            </w:r>
          </w:p>
        </w:tc>
        <w:tc>
          <w:tcPr>
            <w:tcW w:w="4950"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机械电子工程、电气工程及其自动化、电气工程与智能控制、电子信息科学与技术</w:t>
            </w:r>
          </w:p>
        </w:tc>
        <w:tc>
          <w:tcPr>
            <w:tcW w:w="3732"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具有2年以上企业专业工作经历。</w:t>
            </w:r>
          </w:p>
        </w:tc>
        <w:tc>
          <w:tcPr>
            <w:tcW w:w="787" w:type="dxa"/>
            <w:tcBorders>
              <w:tl2br w:val="nil"/>
              <w:tr2bl w:val="nil"/>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09"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1275" w:type="dxa"/>
            <w:tcBorders>
              <w:tl2br w:val="nil"/>
              <w:tr2bl w:val="nil"/>
            </w:tcBorders>
            <w:shd w:val="clear" w:color="auto" w:fill="auto"/>
            <w:vAlign w:val="center"/>
          </w:tcPr>
          <w:p>
            <w:pPr>
              <w:widowControl/>
              <w:jc w:val="center"/>
              <w:rPr>
                <w:rFonts w:ascii="宋体" w:hAnsi="宋体" w:cs="宋体"/>
                <w:color w:val="000000"/>
                <w:sz w:val="22"/>
                <w:szCs w:val="22"/>
              </w:rPr>
            </w:pPr>
            <w:r>
              <w:rPr>
                <w:rFonts w:hint="eastAsia" w:ascii="仿宋_GB2312" w:hAnsi="宋体" w:eastAsia="仿宋_GB2312" w:cs="宋体"/>
                <w:color w:val="000000"/>
                <w:kern w:val="0"/>
                <w:sz w:val="22"/>
                <w:szCs w:val="22"/>
              </w:rPr>
              <w:t>艺术专业教师</w:t>
            </w:r>
          </w:p>
        </w:tc>
        <w:tc>
          <w:tcPr>
            <w:tcW w:w="709" w:type="dxa"/>
            <w:tcBorders>
              <w:tl2br w:val="nil"/>
              <w:tr2bl w:val="nil"/>
            </w:tcBorders>
            <w:shd w:val="clear" w:color="auto" w:fill="auto"/>
            <w:vAlign w:val="center"/>
          </w:tcPr>
          <w:p>
            <w:pPr>
              <w:jc w:val="center"/>
              <w:rPr>
                <w:rFonts w:ascii="宋体" w:hAnsi="宋体" w:cs="宋体"/>
                <w:color w:val="000000"/>
                <w:sz w:val="22"/>
                <w:szCs w:val="22"/>
              </w:rPr>
            </w:pPr>
            <w:r>
              <w:rPr>
                <w:rFonts w:hint="eastAsia"/>
                <w:color w:val="000000"/>
                <w:sz w:val="22"/>
                <w:szCs w:val="22"/>
              </w:rPr>
              <w:t>1</w:t>
            </w:r>
          </w:p>
        </w:tc>
        <w:tc>
          <w:tcPr>
            <w:tcW w:w="802" w:type="dxa"/>
            <w:tcBorders>
              <w:tl2br w:val="nil"/>
              <w:tr2bl w:val="nil"/>
            </w:tcBorders>
            <w:shd w:val="clear" w:color="auto" w:fill="auto"/>
            <w:vAlign w:val="center"/>
          </w:tcPr>
          <w:p>
            <w:pPr>
              <w:jc w:val="center"/>
              <w:rPr>
                <w:rFonts w:ascii="仿宋_GB2312" w:hAnsi="宋体" w:eastAsia="仿宋_GB2312" w:cs="宋体"/>
                <w:sz w:val="22"/>
                <w:szCs w:val="22"/>
              </w:rPr>
            </w:pPr>
            <w:r>
              <w:rPr>
                <w:rFonts w:hint="eastAsia" w:ascii="仿宋_GB2312" w:eastAsia="仿宋_GB2312"/>
                <w:sz w:val="22"/>
                <w:szCs w:val="22"/>
              </w:rPr>
              <w:t>本科及以上</w:t>
            </w:r>
          </w:p>
        </w:tc>
        <w:tc>
          <w:tcPr>
            <w:tcW w:w="871" w:type="dxa"/>
            <w:tcBorders>
              <w:tl2br w:val="nil"/>
              <w:tr2bl w:val="nil"/>
            </w:tcBorders>
            <w:shd w:val="clear" w:color="auto" w:fill="auto"/>
            <w:vAlign w:val="center"/>
          </w:tcPr>
          <w:p>
            <w:pPr>
              <w:jc w:val="center"/>
              <w:rPr>
                <w:rFonts w:ascii="仿宋_GB2312" w:hAnsi="宋体" w:eastAsia="仿宋_GB2312" w:cs="宋体"/>
                <w:sz w:val="22"/>
                <w:szCs w:val="22"/>
              </w:rPr>
            </w:pPr>
            <w:r>
              <w:rPr>
                <w:rFonts w:hint="eastAsia" w:ascii="仿宋_GB2312" w:eastAsia="仿宋_GB2312"/>
                <w:sz w:val="22"/>
                <w:szCs w:val="22"/>
              </w:rPr>
              <w:t>学士及以上</w:t>
            </w:r>
          </w:p>
        </w:tc>
        <w:tc>
          <w:tcPr>
            <w:tcW w:w="1128" w:type="dxa"/>
            <w:tcBorders>
              <w:tl2br w:val="nil"/>
              <w:tr2bl w:val="nil"/>
            </w:tcBorders>
            <w:shd w:val="clear" w:color="auto" w:fill="auto"/>
            <w:vAlign w:val="center"/>
          </w:tcPr>
          <w:p>
            <w:pPr>
              <w:jc w:val="center"/>
              <w:rPr>
                <w:rFonts w:ascii="仿宋_GB2312" w:hAnsi="宋体" w:eastAsia="仿宋_GB2312" w:cs="宋体"/>
                <w:sz w:val="22"/>
                <w:szCs w:val="22"/>
              </w:rPr>
            </w:pPr>
            <w:r>
              <w:rPr>
                <w:rFonts w:hint="eastAsia" w:ascii="仿宋_GB2312" w:eastAsia="仿宋_GB2312"/>
                <w:sz w:val="22"/>
                <w:szCs w:val="22"/>
              </w:rPr>
              <w:t>副高及以上专业技术职务</w:t>
            </w:r>
          </w:p>
        </w:tc>
        <w:tc>
          <w:tcPr>
            <w:tcW w:w="4950" w:type="dxa"/>
            <w:tcBorders>
              <w:tl2br w:val="nil"/>
              <w:tr2bl w:val="nil"/>
            </w:tcBorders>
            <w:shd w:val="clear" w:color="auto" w:fill="auto"/>
            <w:vAlign w:val="center"/>
          </w:tcPr>
          <w:p>
            <w:pPr>
              <w:jc w:val="center"/>
              <w:rPr>
                <w:rFonts w:ascii="仿宋_GB2312" w:hAnsi="宋体" w:eastAsia="仿宋_GB2312" w:cs="宋体"/>
                <w:sz w:val="22"/>
                <w:szCs w:val="22"/>
              </w:rPr>
            </w:pPr>
            <w:r>
              <w:rPr>
                <w:rFonts w:hint="eastAsia" w:ascii="仿宋_GB2312" w:eastAsia="仿宋_GB2312"/>
                <w:sz w:val="22"/>
                <w:szCs w:val="22"/>
              </w:rPr>
              <w:t>美术学、艺术学、绘画、书法、雕塑、摄影、中国画、舞蹈、音乐</w:t>
            </w:r>
          </w:p>
        </w:tc>
        <w:tc>
          <w:tcPr>
            <w:tcW w:w="3732" w:type="dxa"/>
            <w:tcBorders>
              <w:tl2br w:val="nil"/>
              <w:tr2bl w:val="nil"/>
            </w:tcBorders>
            <w:shd w:val="clear" w:color="auto" w:fill="auto"/>
            <w:vAlign w:val="center"/>
          </w:tcPr>
          <w:p>
            <w:pPr>
              <w:jc w:val="center"/>
              <w:rPr>
                <w:rFonts w:ascii="宋体" w:hAnsi="宋体" w:cs="宋体"/>
                <w:color w:val="000000"/>
                <w:sz w:val="22"/>
                <w:szCs w:val="22"/>
              </w:rPr>
            </w:pPr>
            <w:r>
              <w:rPr>
                <w:rFonts w:hint="eastAsia" w:ascii="仿宋_GB2312" w:hAnsi="宋体" w:eastAsia="仿宋_GB2312" w:cs="宋体"/>
                <w:color w:val="000000"/>
                <w:kern w:val="0"/>
                <w:sz w:val="22"/>
                <w:szCs w:val="22"/>
              </w:rPr>
              <w:t>具有2年以上教学科研或企业行业专业工作经历。</w:t>
            </w:r>
          </w:p>
        </w:tc>
        <w:tc>
          <w:tcPr>
            <w:tcW w:w="787" w:type="dxa"/>
            <w:tcBorders>
              <w:tl2br w:val="nil"/>
              <w:tr2bl w:val="nil"/>
            </w:tcBorders>
            <w:shd w:val="clear" w:color="auto" w:fill="auto"/>
            <w:vAlign w:val="center"/>
          </w:tcPr>
          <w:p>
            <w:pPr>
              <w:widowControl/>
              <w:jc w:val="center"/>
              <w:rPr>
                <w:rFonts w:ascii="仿宋_GB2312" w:hAnsi="宋体" w:eastAsia="仿宋_GB2312" w:cs="宋体"/>
                <w:color w:val="000000"/>
                <w:kern w:val="0"/>
                <w:sz w:val="22"/>
                <w:szCs w:val="22"/>
              </w:rPr>
            </w:pPr>
          </w:p>
        </w:tc>
      </w:tr>
    </w:tbl>
    <w:p>
      <w:pPr>
        <w:spacing w:line="440" w:lineRule="exact"/>
        <w:rPr>
          <w:rFonts w:eastAsia="仿宋_GB2312" w:cs="仿宋_GB2312"/>
          <w:sz w:val="24"/>
          <w:szCs w:val="24"/>
        </w:rPr>
      </w:pPr>
    </w:p>
    <w:sectPr>
      <w:footerReference r:id="rId3" w:type="default"/>
      <w:footerReference r:id="rId4" w:type="even"/>
      <w:pgSz w:w="16838" w:h="11906" w:orient="landscape"/>
      <w:pgMar w:top="1021" w:right="1134" w:bottom="851" w:left="1021"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224"/>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11A6A59"/>
    <w:rsid w:val="00003FB6"/>
    <w:rsid w:val="00010276"/>
    <w:rsid w:val="00023F0D"/>
    <w:rsid w:val="000278D2"/>
    <w:rsid w:val="0004004E"/>
    <w:rsid w:val="00045062"/>
    <w:rsid w:val="00045D11"/>
    <w:rsid w:val="0005280F"/>
    <w:rsid w:val="00054354"/>
    <w:rsid w:val="0007499C"/>
    <w:rsid w:val="0008156D"/>
    <w:rsid w:val="00092F4D"/>
    <w:rsid w:val="000A4CF5"/>
    <w:rsid w:val="000B0937"/>
    <w:rsid w:val="000B304A"/>
    <w:rsid w:val="000B5EA8"/>
    <w:rsid w:val="000B7DAB"/>
    <w:rsid w:val="000D5D64"/>
    <w:rsid w:val="000D7367"/>
    <w:rsid w:val="000E0502"/>
    <w:rsid w:val="000E4427"/>
    <w:rsid w:val="000E4616"/>
    <w:rsid w:val="000E7560"/>
    <w:rsid w:val="000E7DD9"/>
    <w:rsid w:val="000F4CE8"/>
    <w:rsid w:val="00100D89"/>
    <w:rsid w:val="0011084E"/>
    <w:rsid w:val="00115BDF"/>
    <w:rsid w:val="00115C27"/>
    <w:rsid w:val="00120780"/>
    <w:rsid w:val="00123343"/>
    <w:rsid w:val="0012469C"/>
    <w:rsid w:val="001377AF"/>
    <w:rsid w:val="00152712"/>
    <w:rsid w:val="001540E3"/>
    <w:rsid w:val="00156466"/>
    <w:rsid w:val="00164616"/>
    <w:rsid w:val="00166435"/>
    <w:rsid w:val="001A33D4"/>
    <w:rsid w:val="001B2C5C"/>
    <w:rsid w:val="001B51C6"/>
    <w:rsid w:val="001B7D15"/>
    <w:rsid w:val="001C21F2"/>
    <w:rsid w:val="001C7338"/>
    <w:rsid w:val="001C799B"/>
    <w:rsid w:val="001D0590"/>
    <w:rsid w:val="001D3081"/>
    <w:rsid w:val="001F43C8"/>
    <w:rsid w:val="002004E0"/>
    <w:rsid w:val="002053B7"/>
    <w:rsid w:val="0021637E"/>
    <w:rsid w:val="0022156B"/>
    <w:rsid w:val="0022705E"/>
    <w:rsid w:val="00232080"/>
    <w:rsid w:val="002325D7"/>
    <w:rsid w:val="00234782"/>
    <w:rsid w:val="0023621C"/>
    <w:rsid w:val="00241BF2"/>
    <w:rsid w:val="00244FED"/>
    <w:rsid w:val="00246645"/>
    <w:rsid w:val="002479C8"/>
    <w:rsid w:val="00265E53"/>
    <w:rsid w:val="00266D22"/>
    <w:rsid w:val="002714CE"/>
    <w:rsid w:val="00281589"/>
    <w:rsid w:val="00282ABB"/>
    <w:rsid w:val="0029579C"/>
    <w:rsid w:val="002A52D6"/>
    <w:rsid w:val="002C54CC"/>
    <w:rsid w:val="002D0567"/>
    <w:rsid w:val="002D63D6"/>
    <w:rsid w:val="002E451D"/>
    <w:rsid w:val="002F3C82"/>
    <w:rsid w:val="002F61FD"/>
    <w:rsid w:val="002F6B9B"/>
    <w:rsid w:val="0030182F"/>
    <w:rsid w:val="003174A0"/>
    <w:rsid w:val="0036275C"/>
    <w:rsid w:val="003733A3"/>
    <w:rsid w:val="00384F69"/>
    <w:rsid w:val="00386487"/>
    <w:rsid w:val="00390E5D"/>
    <w:rsid w:val="00391BEE"/>
    <w:rsid w:val="00391DAB"/>
    <w:rsid w:val="00394984"/>
    <w:rsid w:val="003A0F98"/>
    <w:rsid w:val="003A340B"/>
    <w:rsid w:val="003A6970"/>
    <w:rsid w:val="003B63E1"/>
    <w:rsid w:val="003C4BB8"/>
    <w:rsid w:val="003E1B40"/>
    <w:rsid w:val="00401B80"/>
    <w:rsid w:val="00402646"/>
    <w:rsid w:val="00416CE6"/>
    <w:rsid w:val="00445975"/>
    <w:rsid w:val="00445F04"/>
    <w:rsid w:val="00463605"/>
    <w:rsid w:val="00485441"/>
    <w:rsid w:val="00496115"/>
    <w:rsid w:val="004A1496"/>
    <w:rsid w:val="004A2AEF"/>
    <w:rsid w:val="004A39C0"/>
    <w:rsid w:val="004A3F3D"/>
    <w:rsid w:val="004B7144"/>
    <w:rsid w:val="004D2AFC"/>
    <w:rsid w:val="004D6A14"/>
    <w:rsid w:val="004E1B07"/>
    <w:rsid w:val="004E33C5"/>
    <w:rsid w:val="004E4306"/>
    <w:rsid w:val="004F2A34"/>
    <w:rsid w:val="004F3194"/>
    <w:rsid w:val="004F3E12"/>
    <w:rsid w:val="00544290"/>
    <w:rsid w:val="00544F2D"/>
    <w:rsid w:val="00555D5C"/>
    <w:rsid w:val="005602CB"/>
    <w:rsid w:val="0057740B"/>
    <w:rsid w:val="00584AA4"/>
    <w:rsid w:val="005B7F35"/>
    <w:rsid w:val="005C6002"/>
    <w:rsid w:val="005F2782"/>
    <w:rsid w:val="006053CB"/>
    <w:rsid w:val="00614F5E"/>
    <w:rsid w:val="00634A8C"/>
    <w:rsid w:val="00671377"/>
    <w:rsid w:val="00671883"/>
    <w:rsid w:val="006828E9"/>
    <w:rsid w:val="00685979"/>
    <w:rsid w:val="006A29FB"/>
    <w:rsid w:val="006A3415"/>
    <w:rsid w:val="006A47A0"/>
    <w:rsid w:val="006A5500"/>
    <w:rsid w:val="006B143B"/>
    <w:rsid w:val="006B1BB5"/>
    <w:rsid w:val="006B571A"/>
    <w:rsid w:val="006B614E"/>
    <w:rsid w:val="006D3E97"/>
    <w:rsid w:val="006D5B31"/>
    <w:rsid w:val="006E6B58"/>
    <w:rsid w:val="007220DF"/>
    <w:rsid w:val="00724E13"/>
    <w:rsid w:val="007276BB"/>
    <w:rsid w:val="007359FF"/>
    <w:rsid w:val="00740CF9"/>
    <w:rsid w:val="007416ED"/>
    <w:rsid w:val="00750DE7"/>
    <w:rsid w:val="007548CB"/>
    <w:rsid w:val="00761414"/>
    <w:rsid w:val="00763258"/>
    <w:rsid w:val="0076421D"/>
    <w:rsid w:val="00786189"/>
    <w:rsid w:val="00786207"/>
    <w:rsid w:val="00786CF3"/>
    <w:rsid w:val="0078776B"/>
    <w:rsid w:val="007A36C0"/>
    <w:rsid w:val="007A449A"/>
    <w:rsid w:val="007C35A6"/>
    <w:rsid w:val="007C58C0"/>
    <w:rsid w:val="007C6065"/>
    <w:rsid w:val="007D5D1E"/>
    <w:rsid w:val="007D60EC"/>
    <w:rsid w:val="00810FD1"/>
    <w:rsid w:val="00813464"/>
    <w:rsid w:val="00814AEC"/>
    <w:rsid w:val="00820A4F"/>
    <w:rsid w:val="008348CF"/>
    <w:rsid w:val="0083754E"/>
    <w:rsid w:val="00847227"/>
    <w:rsid w:val="00854F64"/>
    <w:rsid w:val="008637D1"/>
    <w:rsid w:val="0086503B"/>
    <w:rsid w:val="008721AD"/>
    <w:rsid w:val="00876FA8"/>
    <w:rsid w:val="00877E7B"/>
    <w:rsid w:val="00880271"/>
    <w:rsid w:val="008A1D88"/>
    <w:rsid w:val="008A57A7"/>
    <w:rsid w:val="008B4C99"/>
    <w:rsid w:val="008C1DB2"/>
    <w:rsid w:val="009010F4"/>
    <w:rsid w:val="009019CB"/>
    <w:rsid w:val="0090219C"/>
    <w:rsid w:val="009106B4"/>
    <w:rsid w:val="00921F78"/>
    <w:rsid w:val="00942203"/>
    <w:rsid w:val="0098405C"/>
    <w:rsid w:val="009876C7"/>
    <w:rsid w:val="009A01E8"/>
    <w:rsid w:val="009A04C1"/>
    <w:rsid w:val="009A571A"/>
    <w:rsid w:val="009A61C6"/>
    <w:rsid w:val="009B1457"/>
    <w:rsid w:val="009B4609"/>
    <w:rsid w:val="009C3001"/>
    <w:rsid w:val="009F1827"/>
    <w:rsid w:val="00A06922"/>
    <w:rsid w:val="00A156EE"/>
    <w:rsid w:val="00A16275"/>
    <w:rsid w:val="00A26A6C"/>
    <w:rsid w:val="00A27509"/>
    <w:rsid w:val="00A40A23"/>
    <w:rsid w:val="00A40A89"/>
    <w:rsid w:val="00A45969"/>
    <w:rsid w:val="00A51D40"/>
    <w:rsid w:val="00A52ADD"/>
    <w:rsid w:val="00A551CD"/>
    <w:rsid w:val="00A7283E"/>
    <w:rsid w:val="00A764A1"/>
    <w:rsid w:val="00A801DC"/>
    <w:rsid w:val="00A927A8"/>
    <w:rsid w:val="00A937B5"/>
    <w:rsid w:val="00AA0AB4"/>
    <w:rsid w:val="00AA2F0B"/>
    <w:rsid w:val="00AB0F10"/>
    <w:rsid w:val="00AB680D"/>
    <w:rsid w:val="00AC0751"/>
    <w:rsid w:val="00AD459A"/>
    <w:rsid w:val="00AF5950"/>
    <w:rsid w:val="00B02687"/>
    <w:rsid w:val="00B02BEA"/>
    <w:rsid w:val="00B06B7C"/>
    <w:rsid w:val="00B07EBD"/>
    <w:rsid w:val="00B10F07"/>
    <w:rsid w:val="00B1606F"/>
    <w:rsid w:val="00B2519C"/>
    <w:rsid w:val="00B25BDF"/>
    <w:rsid w:val="00B32B35"/>
    <w:rsid w:val="00B32B9C"/>
    <w:rsid w:val="00B32EA5"/>
    <w:rsid w:val="00B33FCE"/>
    <w:rsid w:val="00B41270"/>
    <w:rsid w:val="00B415D9"/>
    <w:rsid w:val="00B627DE"/>
    <w:rsid w:val="00B8014E"/>
    <w:rsid w:val="00B84F1D"/>
    <w:rsid w:val="00B90C5E"/>
    <w:rsid w:val="00B92A74"/>
    <w:rsid w:val="00B97E0B"/>
    <w:rsid w:val="00BB59D8"/>
    <w:rsid w:val="00BD53D4"/>
    <w:rsid w:val="00BD5C5E"/>
    <w:rsid w:val="00BE006C"/>
    <w:rsid w:val="00BE1AAE"/>
    <w:rsid w:val="00BE6B2E"/>
    <w:rsid w:val="00BE6F9A"/>
    <w:rsid w:val="00BF1F30"/>
    <w:rsid w:val="00BF44B5"/>
    <w:rsid w:val="00BF7314"/>
    <w:rsid w:val="00C0012D"/>
    <w:rsid w:val="00C006FB"/>
    <w:rsid w:val="00C04BDA"/>
    <w:rsid w:val="00C14A22"/>
    <w:rsid w:val="00C257B9"/>
    <w:rsid w:val="00C26B85"/>
    <w:rsid w:val="00C31E8A"/>
    <w:rsid w:val="00C46AE3"/>
    <w:rsid w:val="00C46B88"/>
    <w:rsid w:val="00C52844"/>
    <w:rsid w:val="00C57AAD"/>
    <w:rsid w:val="00C61B09"/>
    <w:rsid w:val="00C65AED"/>
    <w:rsid w:val="00C71AD8"/>
    <w:rsid w:val="00C752B2"/>
    <w:rsid w:val="00C8422A"/>
    <w:rsid w:val="00C86B10"/>
    <w:rsid w:val="00C9196A"/>
    <w:rsid w:val="00C97CEE"/>
    <w:rsid w:val="00CA402D"/>
    <w:rsid w:val="00CA5CDB"/>
    <w:rsid w:val="00CB1D7B"/>
    <w:rsid w:val="00CB76EF"/>
    <w:rsid w:val="00CD06EC"/>
    <w:rsid w:val="00CE1E03"/>
    <w:rsid w:val="00CE241F"/>
    <w:rsid w:val="00CE245A"/>
    <w:rsid w:val="00CE4D79"/>
    <w:rsid w:val="00CF43CC"/>
    <w:rsid w:val="00D164A4"/>
    <w:rsid w:val="00D3262D"/>
    <w:rsid w:val="00D35D94"/>
    <w:rsid w:val="00D35F6C"/>
    <w:rsid w:val="00D43581"/>
    <w:rsid w:val="00D4624D"/>
    <w:rsid w:val="00D50D0D"/>
    <w:rsid w:val="00D56685"/>
    <w:rsid w:val="00D838F2"/>
    <w:rsid w:val="00D85503"/>
    <w:rsid w:val="00D85832"/>
    <w:rsid w:val="00D903F2"/>
    <w:rsid w:val="00D95011"/>
    <w:rsid w:val="00D95962"/>
    <w:rsid w:val="00D9641D"/>
    <w:rsid w:val="00DD111F"/>
    <w:rsid w:val="00DF08E1"/>
    <w:rsid w:val="00DF1602"/>
    <w:rsid w:val="00E1111E"/>
    <w:rsid w:val="00E13A8F"/>
    <w:rsid w:val="00E235D2"/>
    <w:rsid w:val="00E7299B"/>
    <w:rsid w:val="00E85466"/>
    <w:rsid w:val="00E85A0F"/>
    <w:rsid w:val="00E92C45"/>
    <w:rsid w:val="00E92D1E"/>
    <w:rsid w:val="00E932B9"/>
    <w:rsid w:val="00EA2869"/>
    <w:rsid w:val="00EA6A3F"/>
    <w:rsid w:val="00EB52D2"/>
    <w:rsid w:val="00EB64C7"/>
    <w:rsid w:val="00EC2BC0"/>
    <w:rsid w:val="00EC471B"/>
    <w:rsid w:val="00ED0CCD"/>
    <w:rsid w:val="00ED6A66"/>
    <w:rsid w:val="00EE1DF1"/>
    <w:rsid w:val="00EE268D"/>
    <w:rsid w:val="00EE42C1"/>
    <w:rsid w:val="00EF7571"/>
    <w:rsid w:val="00F0064C"/>
    <w:rsid w:val="00F01806"/>
    <w:rsid w:val="00F04B92"/>
    <w:rsid w:val="00F2352D"/>
    <w:rsid w:val="00F522D9"/>
    <w:rsid w:val="00F65CF1"/>
    <w:rsid w:val="00F758EC"/>
    <w:rsid w:val="00F83310"/>
    <w:rsid w:val="00F9234B"/>
    <w:rsid w:val="00FA66A0"/>
    <w:rsid w:val="00FB5B84"/>
    <w:rsid w:val="00FD03A3"/>
    <w:rsid w:val="00FE5CA9"/>
    <w:rsid w:val="011A6A59"/>
    <w:rsid w:val="07446BF7"/>
    <w:rsid w:val="0A8A17CF"/>
    <w:rsid w:val="1E8A7618"/>
    <w:rsid w:val="20C51E02"/>
    <w:rsid w:val="412375A7"/>
    <w:rsid w:val="4A1B1887"/>
    <w:rsid w:val="4AFB7520"/>
    <w:rsid w:val="522A337D"/>
    <w:rsid w:val="65FA7F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3"/>
    <w:semiHidden/>
    <w:unhideWhenUsed/>
    <w:qFormat/>
    <w:uiPriority w:val="99"/>
    <w:rPr>
      <w:sz w:val="18"/>
      <w:szCs w:val="18"/>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4">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rFonts w:cs="Times New Roman"/>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auto"/>
      <w:u w:val="none"/>
    </w:rPr>
  </w:style>
  <w:style w:type="character" w:styleId="11">
    <w:name w:val="HTML Typewriter"/>
    <w:basedOn w:val="7"/>
    <w:qFormat/>
    <w:uiPriority w:val="99"/>
    <w:rPr>
      <w:rFonts w:cs="Times New Roman"/>
      <w:b/>
      <w:bCs/>
      <w:color w:val="auto"/>
      <w:sz w:val="18"/>
      <w:szCs w:val="18"/>
    </w:rPr>
  </w:style>
  <w:style w:type="character" w:styleId="12">
    <w:name w:val="Hyperlink"/>
    <w:basedOn w:val="7"/>
    <w:qFormat/>
    <w:uiPriority w:val="99"/>
    <w:rPr>
      <w:rFonts w:cs="Times New Roman"/>
      <w:color w:val="auto"/>
      <w:u w:val="none"/>
    </w:rPr>
  </w:style>
  <w:style w:type="character" w:customStyle="1" w:styleId="13">
    <w:name w:val="psname"/>
    <w:basedOn w:val="7"/>
    <w:qFormat/>
    <w:uiPriority w:val="99"/>
    <w:rPr>
      <w:rFonts w:cs="Times New Roman"/>
      <w:color w:val="FF0000"/>
      <w:sz w:val="18"/>
      <w:szCs w:val="18"/>
    </w:rPr>
  </w:style>
  <w:style w:type="character" w:customStyle="1" w:styleId="14">
    <w:name w:val="psdate"/>
    <w:basedOn w:val="7"/>
    <w:qFormat/>
    <w:uiPriority w:val="99"/>
    <w:rPr>
      <w:rFonts w:cs="Times New Roman"/>
      <w:color w:val="auto"/>
      <w:sz w:val="18"/>
      <w:szCs w:val="18"/>
    </w:rPr>
  </w:style>
  <w:style w:type="character" w:customStyle="1" w:styleId="15">
    <w:name w:val="pssort"/>
    <w:basedOn w:val="7"/>
    <w:qFormat/>
    <w:uiPriority w:val="99"/>
    <w:rPr>
      <w:rFonts w:cs="Times New Roman"/>
      <w:color w:val="auto"/>
      <w:sz w:val="18"/>
      <w:szCs w:val="18"/>
    </w:rPr>
  </w:style>
  <w:style w:type="character" w:customStyle="1" w:styleId="16">
    <w:name w:val="pshits"/>
    <w:basedOn w:val="7"/>
    <w:qFormat/>
    <w:uiPriority w:val="99"/>
    <w:rPr>
      <w:rFonts w:cs="Times New Roman"/>
      <w:color w:val="auto"/>
      <w:sz w:val="18"/>
      <w:szCs w:val="18"/>
    </w:rPr>
  </w:style>
  <w:style w:type="character" w:customStyle="1" w:styleId="17">
    <w:name w:val="psreply"/>
    <w:basedOn w:val="7"/>
    <w:qFormat/>
    <w:uiPriority w:val="99"/>
    <w:rPr>
      <w:rFonts w:cs="Times New Roman"/>
      <w:color w:val="auto"/>
      <w:sz w:val="18"/>
      <w:szCs w:val="18"/>
    </w:rPr>
  </w:style>
  <w:style w:type="paragraph" w:customStyle="1" w:styleId="18">
    <w:name w:val="List Paragraph1"/>
    <w:basedOn w:val="1"/>
    <w:qFormat/>
    <w:uiPriority w:val="99"/>
    <w:pPr>
      <w:ind w:firstLine="420" w:firstLineChars="200"/>
    </w:pPr>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List Paragraph2"/>
    <w:basedOn w:val="1"/>
    <w:qFormat/>
    <w:uiPriority w:val="99"/>
    <w:pPr>
      <w:ind w:firstLine="420" w:firstLineChars="200"/>
    </w:pPr>
  </w:style>
  <w:style w:type="character" w:customStyle="1" w:styleId="21">
    <w:name w:val="apple-converted-space"/>
    <w:basedOn w:val="7"/>
    <w:qFormat/>
    <w:uiPriority w:val="99"/>
    <w:rPr>
      <w:rFonts w:cs="Times New Roman"/>
    </w:rPr>
  </w:style>
  <w:style w:type="character" w:customStyle="1" w:styleId="22">
    <w:name w:val="页脚 Char"/>
    <w:basedOn w:val="7"/>
    <w:link w:val="3"/>
    <w:semiHidden/>
    <w:qFormat/>
    <w:locked/>
    <w:uiPriority w:val="99"/>
    <w:rPr>
      <w:rFonts w:cs="Times New Roman"/>
      <w:sz w:val="18"/>
      <w:szCs w:val="18"/>
    </w:rPr>
  </w:style>
  <w:style w:type="character" w:customStyle="1" w:styleId="23">
    <w:name w:val="批注框文本 Char"/>
    <w:basedOn w:val="7"/>
    <w:link w:val="2"/>
    <w:semiHidden/>
    <w:qFormat/>
    <w:uiPriority w:val="99"/>
    <w:rPr>
      <w:kern w:val="2"/>
      <w:sz w:val="18"/>
      <w:szCs w:val="18"/>
    </w:rPr>
  </w:style>
  <w:style w:type="character" w:customStyle="1" w:styleId="24">
    <w:name w:val="页眉 Char"/>
    <w:basedOn w:val="7"/>
    <w:link w:val="4"/>
    <w:semiHidden/>
    <w:qFormat/>
    <w:uiPriority w:val="99"/>
    <w:rPr>
      <w:kern w:val="2"/>
      <w:sz w:val="18"/>
      <w:szCs w:val="1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4127CF-6195-4033-8F4A-E1E71AAE5D21}">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3</Pages>
  <Words>329</Words>
  <Characters>1880</Characters>
  <Lines>15</Lines>
  <Paragraphs>4</Paragraphs>
  <TotalTime>373</TotalTime>
  <ScaleCrop>false</ScaleCrop>
  <LinksUpToDate>false</LinksUpToDate>
  <CharactersWithSpaces>2205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2017-06-01T00:39:00Z</dcterms:created>
  <dc:creator>Administrator</dc:creator>
  <cp:lastModifiedBy>Administrator</cp:lastModifiedBy>
  <cp:lastPrinted>2019-09-04T00:27:00Z</cp:lastPrinted>
  <dcterms:modified xsi:type="dcterms:W3CDTF">2019-09-05T06:39:15Z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