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50" w:lineRule="atLeast"/>
        <w:jc w:val="center"/>
        <w:rPr>
          <w:rFonts w:hint="eastAsia" w:ascii="仿宋_GB2312" w:hAnsi="Arial" w:eastAsia="仿宋_GB2312" w:cs="Arial"/>
          <w:b/>
          <w:bCs/>
          <w:color w:val="191919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color w:val="191919"/>
          <w:sz w:val="30"/>
          <w:szCs w:val="30"/>
        </w:rPr>
        <w:t>山东中汇建设</w:t>
      </w:r>
      <w:r>
        <w:rPr>
          <w:rFonts w:hint="eastAsia" w:ascii="仿宋_GB2312" w:hAnsi="Arial" w:eastAsia="仿宋_GB2312" w:cs="Arial"/>
          <w:b/>
          <w:bCs/>
          <w:color w:val="191919"/>
          <w:sz w:val="30"/>
          <w:szCs w:val="30"/>
          <w:lang w:eastAsia="zh-CN"/>
        </w:rPr>
        <w:t>集团</w:t>
      </w:r>
      <w:r>
        <w:rPr>
          <w:rFonts w:hint="eastAsia" w:ascii="仿宋_GB2312" w:hAnsi="Arial" w:eastAsia="仿宋_GB2312" w:cs="Arial"/>
          <w:b/>
          <w:bCs/>
          <w:color w:val="191919"/>
          <w:sz w:val="30"/>
          <w:szCs w:val="30"/>
        </w:rPr>
        <w:t>有限公司公开招聘岗位一览表</w:t>
      </w:r>
    </w:p>
    <w:tbl>
      <w:tblPr>
        <w:tblStyle w:val="3"/>
        <w:tblW w:w="9520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475"/>
        <w:gridCol w:w="3159"/>
        <w:gridCol w:w="2784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  <w:t>岗位编号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  <w:t>岗位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  <w:t>类别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  <w:t>专业要求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  <w:t>学历学位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专业技术岗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jc w:val="both"/>
              <w:textAlignment w:val="auto"/>
              <w:outlineLvl w:val="9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  <w:t>土木工程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（专科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  <w:t>以土建施工类（工程质量与安全、基础工程施工）、市政工程类（市政工程技术）、建设工程管理类为主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）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全日制大学专科及以上学历</w:t>
            </w:r>
            <w:r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专业技术岗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建筑安装（排水、采暖通风、强弱电）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全日制大学专科及以上学历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hAnsi="Arial" w:eastAsia="仿宋_GB2312" w:cs="Arial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tabs>
                <w:tab w:val="left" w:pos="385"/>
              </w:tabs>
              <w:spacing w:before="0" w:beforeAutospacing="0" w:after="0" w:afterAutospacing="0" w:line="450" w:lineRule="atLeast"/>
              <w:jc w:val="left"/>
              <w:rPr>
                <w:rFonts w:hint="eastAsia" w:ascii="仿宋_GB2312" w:hAnsi="Arial" w:eastAsia="仿宋_GB2312" w:cs="Arial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sz w:val="24"/>
                <w:szCs w:val="24"/>
              </w:rPr>
              <w:t>专业技术岗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left"/>
              <w:rPr>
                <w:rFonts w:hint="default" w:ascii="仿宋_GB2312" w:hAnsi="Arial" w:eastAsia="仿宋_GB2312" w:cs="Arial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道路桥梁（持有市政二级证书者年龄可放宽至35岁，笔试加5分。）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hAnsi="Arial" w:eastAsia="仿宋_GB2312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sz w:val="24"/>
                <w:szCs w:val="24"/>
              </w:rPr>
              <w:t>全日制大学专科及以上学历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ascii="仿宋_GB2312" w:hAnsi="Arial" w:eastAsia="仿宋_GB2312" w:cs="Arial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tabs>
                <w:tab w:val="left" w:pos="385"/>
              </w:tabs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专业技术岗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全日制大学专科及以上学历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default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tabs>
                <w:tab w:val="left" w:pos="385"/>
              </w:tabs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专业技术岗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全日制大学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及以上学历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1</w:t>
            </w:r>
          </w:p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default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default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tabs>
                <w:tab w:val="left" w:pos="385"/>
              </w:tabs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专业技术岗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全日制大学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及以上学历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1</w:t>
            </w:r>
          </w:p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  <w:t>文秘岗位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  <w:t>汉语言文学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全日制大学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科及以上学历</w:t>
            </w:r>
            <w:r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default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tabs>
                <w:tab w:val="left" w:pos="385"/>
              </w:tabs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专业技术岗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全日制大学专科及以上学历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tabs>
                <w:tab w:val="left" w:pos="385"/>
              </w:tabs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专业技术岗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金融管理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全日制大学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科及以上学历</w:t>
            </w:r>
            <w:r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default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专业技术岗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财会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会计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（限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eastAsia="zh-CN"/>
              </w:rPr>
              <w:t>会计学、财务管理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）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全日制大学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科及以上学历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专业技术岗</w:t>
            </w: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计算机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（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硬件、网络、设备维护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）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全日制大学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  <w:t>科及以上学历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2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default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default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24"/>
                <w:szCs w:val="24"/>
                <w:lang w:val="en-US" w:eastAsia="zh-CN"/>
              </w:rPr>
              <w:t>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60FDD"/>
    <w:rsid w:val="496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2019-10-11T08:18:00Z</dcterms:created>
  <dc:creator>弎寿</dc:creator>
  <cp:lastModifiedBy>弎寿</cp:lastModifiedBy>
  <dcterms:modified xsi:type="dcterms:W3CDTF">2019-10-11T08:19:31Z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