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黑体" w:hAnsi="宋体" w:eastAsia="黑体" w:cs="黑体"/>
          <w:b w:val="0"/>
          <w:i w:val="0"/>
          <w:caps w:val="0"/>
          <w:color w:val="302A2C"/>
          <w:spacing w:val="0"/>
          <w:sz w:val="45"/>
          <w:szCs w:val="4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02A2C"/>
          <w:spacing w:val="0"/>
          <w:sz w:val="45"/>
          <w:szCs w:val="45"/>
          <w:bdr w:val="none" w:color="auto" w:sz="0" w:space="0"/>
          <w:shd w:val="clear" w:fill="FFFFFF"/>
        </w:rPr>
        <w:t>陕西省录用人民警察体能测评项目和标准（暂行）</w:t>
      </w:r>
    </w:p>
    <w:p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919470" cy="3267075"/>
            <wp:effectExtent l="0" t="0" r="508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947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E1EAC"/>
    <w:rsid w:val="059E1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2019-03-20T02:39:00Z</dcterms:created>
  <dc:creator>慢热Cc</dc:creator>
  <cp:lastModifiedBy>慢热Cc</cp:lastModifiedBy>
  <dcterms:modified xsi:type="dcterms:W3CDTF">2019-03-20T02:40:20Z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