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微软雅黑" w:hAnsi="微软雅黑" w:eastAsia="微软雅黑" w:cs="微软雅黑"/>
          <w:color w:val="333333"/>
          <w:sz w:val="18"/>
          <w:szCs w:val="18"/>
        </w:rPr>
        <w:t>附件1：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t>威海市教育局直属学校2019年引进优秀毕业生高校（科研院所）名单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t>        一、全日制本科生和全日制硕士研究生所属院校（科研院所）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t>        清华大学、北京大学、复旦大学、浙江大学、南京大学、厦门大学、山东大学、天津大学、南开大学、西安交通大学、东南大学、武汉大学、上海交通大学、湖南大学、中国人民大学、吉林大学、重庆大学、电子科技大学、四川大学、中山大学、华南理工大学、兰州大学、东北大学、西北工业大学、哈尔滨工业大学、哈尔滨工程大学、华中科技大学、中国海洋大学、北京理工大学、大连理工大学、北京航空航天大学、北京师范大学、同济大学、中南大学、中国科学技术大学、中国农业大学、国防科学技术大学、中央民族大学、华东师范大学、西北农林科技大学、中国科学院大学、中国科学院、中国社科院、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北师范大学、东北农业大学、东北林业大学、华东理工大学、东华大学、上海外国语大学、上海财经大学、上海大学、第二军医大学、苏州大学、南京航空航天大学、南京理工大学、中国矿业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第四军医大学、青海大学、宁夏大学、新疆大学、石河子大学。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t>        国（境）外院校范围参照2019年泰晤士高等教育世界大学排名（Times Higher Education World University Rankings）前400名。</w:t>
      </w: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br w:type="textWrapping"/>
      </w:r>
      <w:r>
        <w:rPr>
          <w:rFonts w:hint="eastAsia" w:ascii="微软雅黑" w:hAnsi="微软雅黑" w:eastAsia="微软雅黑" w:cs="微软雅黑"/>
          <w:color w:val="333333"/>
          <w:sz w:val="18"/>
          <w:szCs w:val="18"/>
        </w:rPr>
        <w:t>        二、全日制博士研究生，海内外院校不限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E0922"/>
    <w:rsid w:val="7B5E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2019-03-01T07:59:00Z</dcterms:created>
  <dc:creator>zhang</dc:creator>
  <cp:lastModifiedBy>zhang</cp:lastModifiedBy>
  <dcterms:modified xsi:type="dcterms:W3CDTF">2019-03-01T08:00:28Z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