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bCs/>
          <w:color w:val="000000"/>
          <w:kern w:val="0"/>
          <w:sz w:val="32"/>
          <w:szCs w:val="28"/>
        </w:rPr>
      </w:pPr>
      <w:bookmarkStart w:id="0" w:name="_GoBack"/>
      <w:r>
        <w:rPr>
          <w:rFonts w:hint="eastAsia" w:ascii="宋体" w:hAnsi="宋体" w:eastAsia="宋体" w:cs="宋体"/>
          <w:b/>
          <w:bCs/>
          <w:color w:val="000000"/>
          <w:kern w:val="0"/>
          <w:sz w:val="32"/>
          <w:szCs w:val="28"/>
        </w:rPr>
        <w:t>赣浙国华（信丰）发电有限责任公司</w:t>
      </w:r>
    </w:p>
    <w:p>
      <w:pPr>
        <w:pStyle w:val="2"/>
        <w:shd w:val="clear" w:color="auto" w:fill="FFFFFF"/>
        <w:spacing w:before="0" w:beforeAutospacing="0" w:after="0" w:afterAutospacing="0" w:line="501" w:lineRule="atLeast"/>
        <w:jc w:val="center"/>
        <w:rPr>
          <w:color w:val="000000"/>
          <w:kern w:val="0"/>
          <w:sz w:val="32"/>
          <w:szCs w:val="28"/>
        </w:rPr>
      </w:pPr>
      <w:r>
        <w:rPr>
          <w:rFonts w:hint="eastAsia"/>
          <w:color w:val="000000"/>
          <w:kern w:val="0"/>
          <w:sz w:val="32"/>
          <w:szCs w:val="28"/>
        </w:rPr>
        <w:t>2020年校园招聘简章</w:t>
      </w:r>
    </w:p>
    <w:bookmarkEnd w:id="0"/>
    <w:p>
      <w:pPr>
        <w:pStyle w:val="2"/>
        <w:shd w:val="clear" w:color="auto" w:fill="FFFFFF"/>
        <w:spacing w:before="0" w:beforeAutospacing="0" w:after="0" w:afterAutospacing="0" w:line="501" w:lineRule="atLeast"/>
        <w:jc w:val="center"/>
        <w:rPr>
          <w:color w:val="000000"/>
          <w:kern w:val="0"/>
          <w:sz w:val="32"/>
          <w:szCs w:val="28"/>
        </w:rPr>
      </w:pPr>
    </w:p>
    <w:p>
      <w:pPr>
        <w:snapToGrid w:val="0"/>
        <w:spacing w:line="360" w:lineRule="auto"/>
        <w:ind w:firstLine="482" w:firstLineChars="200"/>
        <w:rPr>
          <w:rFonts w:asciiTheme="minorEastAsia" w:hAnsiTheme="minorEastAsia" w:cstheme="minorEastAsia"/>
          <w:b/>
          <w:bCs/>
          <w:sz w:val="24"/>
          <w:szCs w:val="24"/>
        </w:rPr>
      </w:pPr>
      <w:r>
        <w:rPr>
          <w:rFonts w:hint="eastAsia" w:asciiTheme="minorEastAsia" w:hAnsiTheme="minorEastAsia" w:cstheme="minorEastAsia"/>
          <w:b/>
          <w:bCs/>
          <w:sz w:val="24"/>
          <w:szCs w:val="24"/>
        </w:rPr>
        <w:t>一、公司简介</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赣浙国华（信丰）发电有限责任公司由江西省赣浙能源有限公司与北京国华电力有限责任公司共同出资组建，注册资本金10亿元。</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信丰电厂项目总投资达120亿元，分两期建设2×660MW、2×1000MW超临界燃煤发电机组，同步安装先进的除尘、脱硫、脱硝设施。该项目是国家发改委（能源局）对口支援赣南的能源项目，已纳入国家电力发展“十三五”规划。</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项目地址位于赣州市信丰县大塘埠镇，距信丰县城15分钟车程，生态宜居、交通便捷，赣深高速铁路直达广州1小时、南昌2小时。</w:t>
      </w:r>
    </w:p>
    <w:p>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482" w:firstLineChars="200"/>
        <w:jc w:val="both"/>
        <w:rPr>
          <w:rFonts w:asciiTheme="minorEastAsia" w:hAnsiTheme="minorEastAsia" w:eastAsiaTheme="minorEastAsia" w:cstheme="minorEastAsia"/>
          <w:b/>
          <w:bCs/>
          <w:kern w:val="2"/>
        </w:rPr>
      </w:pPr>
      <w:r>
        <w:rPr>
          <w:rFonts w:hint="eastAsia" w:asciiTheme="minorEastAsia" w:hAnsiTheme="minorEastAsia" w:eastAsiaTheme="minorEastAsia" w:cstheme="minorEastAsia"/>
          <w:b/>
          <w:bCs/>
          <w:kern w:val="2"/>
        </w:rPr>
        <w:t>二、</w:t>
      </w:r>
      <w:r>
        <w:rPr>
          <w:rFonts w:asciiTheme="minorEastAsia" w:hAnsiTheme="minorEastAsia" w:eastAsiaTheme="minorEastAsia" w:cstheme="minorEastAsia"/>
          <w:b/>
          <w:bCs/>
          <w:kern w:val="2"/>
        </w:rPr>
        <w:t>招聘</w:t>
      </w:r>
      <w:r>
        <w:rPr>
          <w:rFonts w:hint="eastAsia" w:asciiTheme="minorEastAsia" w:hAnsiTheme="minorEastAsia" w:eastAsiaTheme="minorEastAsia" w:cstheme="minorEastAsia"/>
          <w:b/>
          <w:bCs/>
          <w:kern w:val="2"/>
        </w:rPr>
        <w:t>计划</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2919"/>
        <w:gridCol w:w="2919"/>
        <w:gridCol w:w="1945"/>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tcBorders>
              <w:bottom w:val="single" w:color="auto" w:sz="4" w:space="0"/>
            </w:tcBorders>
            <w:vAlign w:val="center"/>
          </w:tcPr>
          <w:p>
            <w:pPr>
              <w:snapToGrid w:val="0"/>
              <w:spacing w:line="360" w:lineRule="auto"/>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序号</w:t>
            </w:r>
          </w:p>
        </w:tc>
        <w:tc>
          <w:tcPr>
            <w:tcW w:w="1481" w:type="pct"/>
          </w:tcPr>
          <w:p>
            <w:pPr>
              <w:snapToGrid w:val="0"/>
              <w:spacing w:line="360" w:lineRule="auto"/>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岗位</w:t>
            </w:r>
          </w:p>
        </w:tc>
        <w:tc>
          <w:tcPr>
            <w:tcW w:w="1481" w:type="pct"/>
            <w:vAlign w:val="center"/>
          </w:tcPr>
          <w:p>
            <w:pPr>
              <w:snapToGrid w:val="0"/>
              <w:spacing w:line="360" w:lineRule="auto"/>
              <w:jc w:val="center"/>
              <w:rPr>
                <w:rFonts w:asciiTheme="minorEastAsia" w:hAnsiTheme="minorEastAsia" w:cstheme="minorEastAsia"/>
                <w:b/>
                <w:bCs/>
                <w:kern w:val="0"/>
                <w:sz w:val="20"/>
                <w:szCs w:val="20"/>
              </w:rPr>
            </w:pPr>
            <w:r>
              <w:rPr>
                <w:rFonts w:asciiTheme="minorEastAsia" w:hAnsiTheme="minorEastAsia" w:cstheme="minorEastAsia"/>
                <w:b/>
                <w:bCs/>
                <w:kern w:val="0"/>
                <w:sz w:val="20"/>
                <w:szCs w:val="20"/>
              </w:rPr>
              <w:t>专业</w:t>
            </w:r>
          </w:p>
        </w:tc>
        <w:tc>
          <w:tcPr>
            <w:tcW w:w="987" w:type="pct"/>
            <w:vAlign w:val="center"/>
          </w:tcPr>
          <w:p>
            <w:pPr>
              <w:snapToGrid w:val="0"/>
              <w:spacing w:line="360" w:lineRule="auto"/>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学历</w:t>
            </w:r>
          </w:p>
        </w:tc>
        <w:tc>
          <w:tcPr>
            <w:tcW w:w="658" w:type="pct"/>
            <w:vAlign w:val="center"/>
          </w:tcPr>
          <w:p>
            <w:pPr>
              <w:snapToGrid w:val="0"/>
              <w:spacing w:line="360" w:lineRule="auto"/>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1</w:t>
            </w:r>
          </w:p>
        </w:tc>
        <w:tc>
          <w:tcPr>
            <w:tcW w:w="1481" w:type="pct"/>
            <w:vMerge w:val="restart"/>
          </w:tcPr>
          <w:p>
            <w:pPr>
              <w:snapToGrid w:val="0"/>
              <w:spacing w:line="360" w:lineRule="auto"/>
              <w:jc w:val="center"/>
              <w:rPr>
                <w:rFonts w:asciiTheme="minorEastAsia" w:hAnsiTheme="minorEastAsia" w:cstheme="minorEastAsia"/>
                <w:kern w:val="0"/>
                <w:sz w:val="20"/>
                <w:szCs w:val="20"/>
              </w:rPr>
            </w:pPr>
          </w:p>
          <w:p>
            <w:pPr>
              <w:snapToGrid w:val="0"/>
              <w:spacing w:line="360" w:lineRule="auto"/>
              <w:jc w:val="center"/>
              <w:rPr>
                <w:rFonts w:asciiTheme="minorEastAsia" w:hAnsiTheme="minorEastAsia" w:cstheme="minorEastAsia"/>
                <w:kern w:val="0"/>
                <w:sz w:val="20"/>
                <w:szCs w:val="20"/>
              </w:rPr>
            </w:pPr>
          </w:p>
          <w:p>
            <w:pPr>
              <w:snapToGrid w:val="0"/>
              <w:spacing w:line="360" w:lineRule="auto"/>
              <w:jc w:val="center"/>
              <w:rPr>
                <w:rFonts w:asciiTheme="minorEastAsia" w:hAnsiTheme="minorEastAsia" w:cstheme="minorEastAsia"/>
                <w:kern w:val="0"/>
                <w:sz w:val="20"/>
                <w:szCs w:val="20"/>
              </w:rPr>
            </w:pPr>
          </w:p>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集控运行</w:t>
            </w: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asciiTheme="minorEastAsia" w:hAnsiTheme="minorEastAsia" w:cstheme="minorEastAsia"/>
                <w:kern w:val="0"/>
                <w:sz w:val="20"/>
                <w:szCs w:val="20"/>
              </w:rPr>
              <w:t>热能动力</w:t>
            </w:r>
            <w:r>
              <w:rPr>
                <w:rFonts w:hint="eastAsia" w:asciiTheme="minorEastAsia" w:hAnsiTheme="minorEastAsia" w:cstheme="minorEastAsia"/>
                <w:kern w:val="0"/>
                <w:sz w:val="20"/>
                <w:szCs w:val="20"/>
              </w:rPr>
              <w:t>工程</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6～7人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tcBorders>
              <w:bottom w:val="single" w:color="auto" w:sz="4" w:space="0"/>
            </w:tcBorders>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2</w:t>
            </w:r>
          </w:p>
        </w:tc>
        <w:tc>
          <w:tcPr>
            <w:tcW w:w="1481" w:type="pct"/>
            <w:vMerge w:val="continue"/>
          </w:tcPr>
          <w:p>
            <w:pPr>
              <w:snapToGrid w:val="0"/>
              <w:spacing w:line="360" w:lineRule="auto"/>
              <w:jc w:val="center"/>
              <w:rPr>
                <w:rFonts w:asciiTheme="minorEastAsia" w:hAnsiTheme="minorEastAsia" w:cstheme="minorEastAsia"/>
                <w:kern w:val="0"/>
                <w:sz w:val="20"/>
                <w:szCs w:val="20"/>
              </w:rPr>
            </w:pP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asciiTheme="minorEastAsia" w:hAnsiTheme="minorEastAsia" w:cstheme="minorEastAsia"/>
                <w:kern w:val="0"/>
                <w:sz w:val="20"/>
                <w:szCs w:val="20"/>
              </w:rPr>
              <w:t>电力系统及其自动化</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tcBorders>
              <w:top w:val="single" w:color="auto" w:sz="4" w:space="0"/>
            </w:tcBorders>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3</w:t>
            </w:r>
          </w:p>
        </w:tc>
        <w:tc>
          <w:tcPr>
            <w:tcW w:w="1481" w:type="pct"/>
            <w:vMerge w:val="continue"/>
          </w:tcPr>
          <w:p>
            <w:pPr>
              <w:snapToGrid w:val="0"/>
              <w:spacing w:line="360" w:lineRule="auto"/>
              <w:jc w:val="center"/>
              <w:rPr>
                <w:rFonts w:asciiTheme="minorEastAsia" w:hAnsiTheme="minorEastAsia" w:cstheme="minorEastAsia"/>
                <w:kern w:val="0"/>
                <w:sz w:val="20"/>
                <w:szCs w:val="20"/>
              </w:rPr>
            </w:pP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asciiTheme="minorEastAsia" w:hAnsiTheme="minorEastAsia" w:cstheme="minorEastAsia"/>
                <w:kern w:val="0"/>
                <w:sz w:val="20"/>
                <w:szCs w:val="20"/>
              </w:rPr>
              <w:t>热工控制及其自动化</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4</w:t>
            </w:r>
          </w:p>
        </w:tc>
        <w:tc>
          <w:tcPr>
            <w:tcW w:w="1481" w:type="pct"/>
            <w:vMerge w:val="continue"/>
          </w:tcPr>
          <w:p>
            <w:pPr>
              <w:snapToGrid w:val="0"/>
              <w:spacing w:line="360" w:lineRule="auto"/>
              <w:jc w:val="center"/>
              <w:rPr>
                <w:rFonts w:asciiTheme="minorEastAsia" w:hAnsiTheme="minorEastAsia" w:cstheme="minorEastAsia"/>
                <w:kern w:val="0"/>
                <w:sz w:val="20"/>
                <w:szCs w:val="20"/>
              </w:rPr>
            </w:pP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asciiTheme="minorEastAsia" w:hAnsiTheme="minorEastAsia" w:cstheme="minorEastAsia"/>
                <w:kern w:val="0"/>
                <w:sz w:val="20"/>
                <w:szCs w:val="20"/>
              </w:rPr>
              <w:t>集控运行</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5</w:t>
            </w:r>
          </w:p>
        </w:tc>
        <w:tc>
          <w:tcPr>
            <w:tcW w:w="1481" w:type="pct"/>
            <w:vMerge w:val="continue"/>
          </w:tcPr>
          <w:p>
            <w:pPr>
              <w:snapToGrid w:val="0"/>
              <w:spacing w:line="360" w:lineRule="auto"/>
              <w:jc w:val="center"/>
              <w:rPr>
                <w:rFonts w:asciiTheme="minorEastAsia" w:hAnsiTheme="minorEastAsia" w:cstheme="minorEastAsia"/>
                <w:kern w:val="0"/>
                <w:sz w:val="20"/>
                <w:szCs w:val="20"/>
              </w:rPr>
            </w:pP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asciiTheme="minorEastAsia" w:hAnsiTheme="minorEastAsia" w:cstheme="minorEastAsia"/>
                <w:kern w:val="0"/>
                <w:sz w:val="20"/>
                <w:szCs w:val="20"/>
              </w:rPr>
              <w:t>机械设计</w:t>
            </w:r>
            <w:r>
              <w:rPr>
                <w:rFonts w:hint="eastAsia" w:asciiTheme="minorEastAsia" w:hAnsiTheme="minorEastAsia" w:cstheme="minorEastAsia"/>
                <w:kern w:val="0"/>
                <w:sz w:val="20"/>
                <w:szCs w:val="20"/>
              </w:rPr>
              <w:t>制造</w:t>
            </w:r>
            <w:r>
              <w:rPr>
                <w:rFonts w:asciiTheme="minorEastAsia" w:hAnsiTheme="minorEastAsia" w:cstheme="minorEastAsia"/>
                <w:kern w:val="0"/>
                <w:sz w:val="20"/>
                <w:szCs w:val="20"/>
              </w:rPr>
              <w:t>及其自动化</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6</w:t>
            </w:r>
          </w:p>
        </w:tc>
        <w:tc>
          <w:tcPr>
            <w:tcW w:w="1481" w:type="pct"/>
            <w:vMerge w:val="continue"/>
          </w:tcPr>
          <w:p>
            <w:pPr>
              <w:snapToGrid w:val="0"/>
              <w:spacing w:line="360" w:lineRule="auto"/>
              <w:jc w:val="center"/>
              <w:rPr>
                <w:rFonts w:hint="eastAsia" w:asciiTheme="minorEastAsia" w:hAnsiTheme="minorEastAsia" w:cstheme="minorEastAsia"/>
                <w:kern w:val="0"/>
                <w:sz w:val="20"/>
                <w:szCs w:val="20"/>
              </w:rPr>
            </w:pP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应用化学、电厂化学类</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3～4人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7</w:t>
            </w:r>
          </w:p>
        </w:tc>
        <w:tc>
          <w:tcPr>
            <w:tcW w:w="1481" w:type="pct"/>
            <w:vMerge w:val="restart"/>
          </w:tcPr>
          <w:p>
            <w:pPr>
              <w:snapToGrid w:val="0"/>
              <w:spacing w:line="360" w:lineRule="auto"/>
              <w:jc w:val="center"/>
              <w:rPr>
                <w:rFonts w:asciiTheme="minorEastAsia" w:hAnsiTheme="minorEastAsia" w:cstheme="minorEastAsia"/>
                <w:kern w:val="0"/>
                <w:sz w:val="20"/>
                <w:szCs w:val="20"/>
              </w:rPr>
            </w:pPr>
          </w:p>
          <w:p>
            <w:pPr>
              <w:snapToGrid w:val="0"/>
              <w:spacing w:line="360" w:lineRule="auto"/>
              <w:jc w:val="center"/>
              <w:rPr>
                <w:rFonts w:asciiTheme="minorEastAsia" w:hAnsiTheme="minorEastAsia" w:cstheme="minorEastAsia"/>
                <w:kern w:val="0"/>
                <w:sz w:val="20"/>
                <w:szCs w:val="20"/>
              </w:rPr>
            </w:pPr>
          </w:p>
          <w:p>
            <w:pPr>
              <w:snapToGrid w:val="0"/>
              <w:spacing w:line="360" w:lineRule="auto"/>
              <w:jc w:val="center"/>
              <w:rPr>
                <w:rFonts w:hint="eastAsia" w:asciiTheme="minorEastAsia" w:hAnsiTheme="minorEastAsia" w:cstheme="minorEastAsia"/>
                <w:kern w:val="0"/>
                <w:sz w:val="20"/>
                <w:szCs w:val="20"/>
              </w:rPr>
            </w:pPr>
            <w:r>
              <w:rPr>
                <w:rFonts w:hint="eastAsia" w:asciiTheme="minorEastAsia" w:hAnsiTheme="minorEastAsia" w:cstheme="minorEastAsia"/>
                <w:kern w:val="0"/>
                <w:sz w:val="20"/>
                <w:szCs w:val="20"/>
              </w:rPr>
              <w:t>综合管理</w:t>
            </w: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法律类相关专业</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8</w:t>
            </w:r>
          </w:p>
        </w:tc>
        <w:tc>
          <w:tcPr>
            <w:tcW w:w="1481" w:type="pct"/>
            <w:vMerge w:val="continue"/>
          </w:tcPr>
          <w:p>
            <w:pPr>
              <w:snapToGrid w:val="0"/>
              <w:spacing w:line="360" w:lineRule="auto"/>
              <w:jc w:val="center"/>
              <w:rPr>
                <w:rFonts w:hint="eastAsia" w:asciiTheme="minorEastAsia" w:hAnsiTheme="minorEastAsia" w:cstheme="minorEastAsia"/>
                <w:kern w:val="0"/>
                <w:sz w:val="20"/>
                <w:szCs w:val="20"/>
              </w:rPr>
            </w:pP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中文、新闻学类相关专业</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asciiTheme="minorEastAsia" w:hAnsiTheme="minorEastAsia" w:cstheme="minorEastAsia"/>
                <w:kern w:val="0"/>
                <w:sz w:val="20"/>
                <w:szCs w:val="20"/>
              </w:rPr>
              <w:t>2</w:t>
            </w:r>
            <w:r>
              <w:rPr>
                <w:rFonts w:hint="eastAsia" w:asciiTheme="minorEastAsia" w:hAnsiTheme="minorEastAsia" w:cstheme="minorEastAsia"/>
                <w:kern w:val="0"/>
                <w:sz w:val="20"/>
                <w:szCs w:val="2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9</w:t>
            </w:r>
          </w:p>
        </w:tc>
        <w:tc>
          <w:tcPr>
            <w:tcW w:w="1481" w:type="pct"/>
            <w:vMerge w:val="continue"/>
          </w:tcPr>
          <w:p>
            <w:pPr>
              <w:snapToGrid w:val="0"/>
              <w:spacing w:line="360" w:lineRule="auto"/>
              <w:jc w:val="center"/>
              <w:rPr>
                <w:rFonts w:hint="eastAsia" w:asciiTheme="minorEastAsia" w:hAnsiTheme="minorEastAsia" w:cstheme="minorEastAsia"/>
                <w:kern w:val="0"/>
                <w:sz w:val="20"/>
                <w:szCs w:val="20"/>
              </w:rPr>
            </w:pP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档案</w:t>
            </w:r>
            <w:r>
              <w:rPr>
                <w:rFonts w:asciiTheme="minorEastAsia" w:hAnsiTheme="minorEastAsia" w:cstheme="minorEastAsia"/>
                <w:kern w:val="0"/>
                <w:sz w:val="20"/>
                <w:szCs w:val="20"/>
              </w:rPr>
              <w:t>专业</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93"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10</w:t>
            </w:r>
          </w:p>
        </w:tc>
        <w:tc>
          <w:tcPr>
            <w:tcW w:w="1481" w:type="pct"/>
            <w:vMerge w:val="continue"/>
          </w:tcPr>
          <w:p>
            <w:pPr>
              <w:snapToGrid w:val="0"/>
              <w:spacing w:line="360" w:lineRule="auto"/>
              <w:jc w:val="center"/>
              <w:rPr>
                <w:rFonts w:hint="eastAsia" w:asciiTheme="minorEastAsia" w:hAnsiTheme="minorEastAsia" w:cstheme="minorEastAsia"/>
                <w:kern w:val="0"/>
                <w:sz w:val="20"/>
                <w:szCs w:val="20"/>
              </w:rPr>
            </w:pPr>
          </w:p>
        </w:tc>
        <w:tc>
          <w:tcPr>
            <w:tcW w:w="1481"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人力资源专业</w:t>
            </w:r>
          </w:p>
        </w:tc>
        <w:tc>
          <w:tcPr>
            <w:tcW w:w="987"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大学</w:t>
            </w:r>
            <w:r>
              <w:rPr>
                <w:rFonts w:asciiTheme="minorEastAsia" w:hAnsiTheme="minorEastAsia" w:cstheme="minorEastAsia"/>
                <w:kern w:val="0"/>
                <w:sz w:val="20"/>
                <w:szCs w:val="20"/>
              </w:rPr>
              <w:t>本科</w:t>
            </w:r>
            <w:r>
              <w:rPr>
                <w:rFonts w:hint="eastAsia" w:asciiTheme="minorEastAsia" w:hAnsiTheme="minorEastAsia" w:cstheme="minorEastAsia"/>
                <w:kern w:val="0"/>
                <w:sz w:val="20"/>
                <w:szCs w:val="20"/>
              </w:rPr>
              <w:t>及以上</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342" w:type="pct"/>
            <w:gridSpan w:val="4"/>
          </w:tcPr>
          <w:p>
            <w:pPr>
              <w:snapToGrid w:val="0"/>
              <w:spacing w:line="360" w:lineRule="auto"/>
              <w:ind w:firstLine="400" w:firstLineChars="200"/>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 xml:space="preserve">合 </w:t>
            </w:r>
            <w:r>
              <w:rPr>
                <w:rFonts w:asciiTheme="minorEastAsia" w:hAnsiTheme="minorEastAsia" w:cstheme="minorEastAsia"/>
                <w:kern w:val="0"/>
                <w:sz w:val="20"/>
                <w:szCs w:val="20"/>
              </w:rPr>
              <w:t xml:space="preserve"> </w:t>
            </w:r>
            <w:r>
              <w:rPr>
                <w:rFonts w:hint="eastAsia" w:asciiTheme="minorEastAsia" w:hAnsiTheme="minorEastAsia" w:cstheme="minorEastAsia"/>
                <w:kern w:val="0"/>
                <w:sz w:val="20"/>
                <w:szCs w:val="20"/>
              </w:rPr>
              <w:t>计</w:t>
            </w:r>
          </w:p>
        </w:tc>
        <w:tc>
          <w:tcPr>
            <w:tcW w:w="658" w:type="pct"/>
            <w:vAlign w:val="center"/>
          </w:tcPr>
          <w:p>
            <w:pPr>
              <w:snapToGrid w:val="0"/>
              <w:spacing w:line="360" w:lineRule="auto"/>
              <w:jc w:val="center"/>
              <w:rPr>
                <w:rFonts w:asciiTheme="minorEastAsia" w:hAnsiTheme="minorEastAsia" w:cstheme="minorEastAsia"/>
                <w:kern w:val="0"/>
                <w:sz w:val="20"/>
                <w:szCs w:val="20"/>
              </w:rPr>
            </w:pPr>
            <w:r>
              <w:rPr>
                <w:rFonts w:hint="eastAsia" w:asciiTheme="minorEastAsia" w:hAnsiTheme="minorEastAsia" w:cstheme="minorEastAsia"/>
                <w:kern w:val="0"/>
                <w:sz w:val="20"/>
                <w:szCs w:val="20"/>
              </w:rPr>
              <w:t>55～57人</w:t>
            </w:r>
          </w:p>
        </w:tc>
      </w:tr>
    </w:tbl>
    <w:p>
      <w:pPr>
        <w:pStyle w:val="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482" w:firstLineChars="200"/>
        <w:jc w:val="both"/>
        <w:rPr>
          <w:rFonts w:asciiTheme="minorEastAsia" w:hAnsiTheme="minorEastAsia" w:eastAsiaTheme="minorEastAsia" w:cstheme="minorEastAsia"/>
          <w:b/>
          <w:bCs/>
          <w:kern w:val="2"/>
        </w:rPr>
      </w:pPr>
      <w:r>
        <w:rPr>
          <w:rFonts w:asciiTheme="minorEastAsia" w:hAnsiTheme="minorEastAsia" w:eastAsiaTheme="minorEastAsia" w:cstheme="minorEastAsia"/>
          <w:b/>
          <w:bCs/>
          <w:kern w:val="2"/>
        </w:rPr>
        <w:t xml:space="preserve">三、招聘原则 </w:t>
      </w:r>
    </w:p>
    <w:p>
      <w:pPr>
        <w:snapToGrid w:val="0"/>
        <w:spacing w:line="360" w:lineRule="auto"/>
        <w:ind w:firstLine="480" w:firstLineChars="200"/>
        <w:rPr>
          <w:rFonts w:asciiTheme="minorEastAsia" w:hAnsiTheme="minorEastAsia" w:cstheme="minorEastAsia"/>
          <w:sz w:val="24"/>
          <w:szCs w:val="24"/>
        </w:rPr>
      </w:pPr>
      <w:r>
        <w:rPr>
          <w:rFonts w:asciiTheme="minorEastAsia" w:hAnsiTheme="minorEastAsia" w:cstheme="minorEastAsia"/>
          <w:sz w:val="24"/>
          <w:szCs w:val="24"/>
        </w:rPr>
        <w:t xml:space="preserve">1.公开、公正、公平原则：坚持招聘规则、操作程序、评价办法及标准公开，各环节评分公平公正，坚持应届生的发展方向与岗位需求相匹配。 </w:t>
      </w:r>
    </w:p>
    <w:p>
      <w:pPr>
        <w:snapToGrid w:val="0"/>
        <w:spacing w:line="360" w:lineRule="auto"/>
        <w:ind w:firstLine="480" w:firstLineChars="200"/>
        <w:rPr>
          <w:rFonts w:asciiTheme="minorEastAsia" w:hAnsiTheme="minorEastAsia" w:cstheme="minorEastAsia"/>
          <w:sz w:val="24"/>
          <w:szCs w:val="24"/>
        </w:rPr>
      </w:pPr>
      <w:r>
        <w:rPr>
          <w:rFonts w:asciiTheme="minorEastAsia" w:hAnsiTheme="minorEastAsia" w:cstheme="minorEastAsia"/>
          <w:sz w:val="24"/>
          <w:szCs w:val="24"/>
        </w:rPr>
        <w:t>2.竞争、择优原则：坚持任人唯贤、德才兼备、人岗匹配，同等条件下按候选人排序择优录取，成绩出色、实践经验丰富及其他特长者优先。</w:t>
      </w:r>
    </w:p>
    <w:p>
      <w:pPr>
        <w:snapToGrid w:val="0"/>
        <w:spacing w:line="360" w:lineRule="auto"/>
        <w:ind w:firstLine="354" w:firstLineChars="147"/>
        <w:rPr>
          <w:rFonts w:asciiTheme="minorEastAsia" w:hAnsiTheme="minorEastAsia" w:cstheme="minorEastAsia"/>
          <w:b/>
          <w:bCs/>
          <w:sz w:val="24"/>
          <w:szCs w:val="24"/>
        </w:rPr>
      </w:pPr>
      <w:r>
        <w:rPr>
          <w:rFonts w:hint="eastAsia" w:asciiTheme="minorEastAsia" w:hAnsiTheme="minorEastAsia" w:cstheme="minorEastAsia"/>
          <w:b/>
          <w:bCs/>
          <w:sz w:val="24"/>
          <w:szCs w:val="24"/>
        </w:rPr>
        <w:t>四、报名条件</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w:t>
      </w:r>
      <w:r>
        <w:rPr>
          <w:rFonts w:asciiTheme="minorEastAsia" w:hAnsiTheme="minorEastAsia" w:cstheme="minorEastAsia"/>
          <w:sz w:val="24"/>
          <w:szCs w:val="24"/>
        </w:rPr>
        <w:t>2020届全日制应届</w:t>
      </w:r>
      <w:r>
        <w:rPr>
          <w:rFonts w:hint="eastAsia" w:asciiTheme="minorEastAsia" w:hAnsiTheme="minorEastAsia" w:cstheme="minorEastAsia"/>
          <w:sz w:val="24"/>
          <w:szCs w:val="24"/>
        </w:rPr>
        <w:t>大学</w:t>
      </w:r>
      <w:r>
        <w:rPr>
          <w:rFonts w:asciiTheme="minorEastAsia" w:hAnsiTheme="minorEastAsia" w:cstheme="minorEastAsia"/>
          <w:sz w:val="24"/>
          <w:szCs w:val="24"/>
        </w:rPr>
        <w:t>本科</w:t>
      </w:r>
      <w:r>
        <w:rPr>
          <w:rFonts w:hint="eastAsia" w:asciiTheme="minorEastAsia" w:hAnsiTheme="minorEastAsia" w:cstheme="minorEastAsia"/>
          <w:sz w:val="24"/>
          <w:szCs w:val="24"/>
        </w:rPr>
        <w:t>及以上毕业生。</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2、吃苦耐劳，责任心强，积极主动，具有良好的团队协助和沟通协调能力。</w:t>
      </w:r>
    </w:p>
    <w:p>
      <w:pPr>
        <w:snapToGrid w:val="0"/>
        <w:spacing w:line="360" w:lineRule="auto"/>
        <w:ind w:firstLine="475" w:firstLineChars="198"/>
        <w:rPr>
          <w:rFonts w:asciiTheme="minorEastAsia" w:hAnsiTheme="minorEastAsia" w:cstheme="minorEastAsia"/>
          <w:sz w:val="24"/>
          <w:szCs w:val="24"/>
        </w:rPr>
      </w:pPr>
      <w:r>
        <w:rPr>
          <w:rFonts w:hint="eastAsia" w:asciiTheme="minorEastAsia" w:hAnsiTheme="minorEastAsia" w:cstheme="minorEastAsia"/>
          <w:sz w:val="24"/>
          <w:szCs w:val="24"/>
        </w:rPr>
        <w:t>3、身体健康，主要无色盲、高血压、心脏病、精神性及传染性疾病。</w:t>
      </w:r>
    </w:p>
    <w:p>
      <w:pPr>
        <w:snapToGrid w:val="0"/>
        <w:spacing w:line="360" w:lineRule="auto"/>
        <w:ind w:firstLine="361" w:firstLineChars="150"/>
        <w:rPr>
          <w:rFonts w:asciiTheme="minorEastAsia" w:hAnsiTheme="minorEastAsia" w:cstheme="minorEastAsia"/>
          <w:b/>
          <w:bCs/>
          <w:sz w:val="24"/>
          <w:szCs w:val="24"/>
        </w:rPr>
      </w:pPr>
      <w:r>
        <w:rPr>
          <w:rFonts w:hint="eastAsia" w:asciiTheme="minorEastAsia" w:hAnsiTheme="minorEastAsia" w:cstheme="minorEastAsia"/>
          <w:b/>
          <w:bCs/>
          <w:sz w:val="24"/>
          <w:szCs w:val="24"/>
        </w:rPr>
        <w:t>五、招聘程序</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1、网上报名 </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下载填报《应聘人员登记表》 （可在赣浙能源官网</w:t>
      </w:r>
      <w:r>
        <w:rPr>
          <w:rFonts w:asciiTheme="minorEastAsia" w:hAnsiTheme="minorEastAsia" w:cstheme="minorEastAsia"/>
          <w:sz w:val="24"/>
          <w:szCs w:val="24"/>
        </w:rPr>
        <w:fldChar w:fldCharType="begin"/>
      </w:r>
      <w:r>
        <w:rPr>
          <w:rFonts w:asciiTheme="minorEastAsia" w:hAnsiTheme="minorEastAsia" w:cstheme="minorEastAsia"/>
          <w:sz w:val="24"/>
          <w:szCs w:val="24"/>
        </w:rPr>
        <w:instrText xml:space="preserve"> HYPERLINK "http://www.jxgzny.com" </w:instrText>
      </w:r>
      <w:r>
        <w:rPr>
          <w:rFonts w:asciiTheme="minorEastAsia" w:hAnsiTheme="minorEastAsia" w:cstheme="minorEastAsia"/>
          <w:sz w:val="24"/>
          <w:szCs w:val="24"/>
        </w:rPr>
        <w:fldChar w:fldCharType="separate"/>
      </w:r>
      <w:r>
        <w:rPr>
          <w:rStyle w:val="10"/>
          <w:rFonts w:asciiTheme="minorEastAsia" w:hAnsiTheme="minorEastAsia" w:cstheme="minorEastAsia"/>
          <w:sz w:val="24"/>
          <w:szCs w:val="24"/>
        </w:rPr>
        <w:t>http://www.jxgzny.com</w:t>
      </w:r>
      <w:r>
        <w:rPr>
          <w:rFonts w:asciiTheme="minorEastAsia" w:hAnsiTheme="minorEastAsia" w:cstheme="minorEastAsia"/>
          <w:sz w:val="24"/>
          <w:szCs w:val="24"/>
        </w:rPr>
        <w:fldChar w:fldCharType="end"/>
      </w:r>
      <w:r>
        <w:rPr>
          <w:rFonts w:hint="eastAsia" w:asciiTheme="minorEastAsia" w:hAnsiTheme="minorEastAsia" w:cstheme="minorEastAsia"/>
          <w:sz w:val="24"/>
          <w:szCs w:val="24"/>
        </w:rPr>
        <w:t xml:space="preserve">人才招聘栏目下载），并附上个人简历、学历学位证书、成绩单及其他有关奖励或资格证书等材料发送至zhaopin@jxgzny.com </w:t>
      </w:r>
      <w:r>
        <w:rPr>
          <w:rFonts w:asciiTheme="minorEastAsia" w:hAnsiTheme="minorEastAsia" w:cstheme="minorEastAsia"/>
          <w:sz w:val="24"/>
          <w:szCs w:val="24"/>
        </w:rPr>
        <w:t>；</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邮件主题：</w:t>
      </w:r>
      <w:r>
        <w:rPr>
          <w:rFonts w:asciiTheme="minorEastAsia" w:hAnsiTheme="minorEastAsia" w:cstheme="minorEastAsia"/>
          <w:sz w:val="24"/>
          <w:szCs w:val="24"/>
        </w:rPr>
        <w:t>学校名称</w:t>
      </w:r>
      <w:r>
        <w:rPr>
          <w:rFonts w:hint="eastAsia" w:asciiTheme="minorEastAsia" w:hAnsiTheme="minorEastAsia" w:cstheme="minorEastAsia"/>
          <w:sz w:val="24"/>
          <w:szCs w:val="24"/>
        </w:rPr>
        <w:t xml:space="preserve"> - </w:t>
      </w:r>
      <w:r>
        <w:rPr>
          <w:rFonts w:asciiTheme="minorEastAsia" w:hAnsiTheme="minorEastAsia" w:cstheme="minorEastAsia"/>
          <w:sz w:val="24"/>
          <w:szCs w:val="24"/>
        </w:rPr>
        <w:t>专业名称</w:t>
      </w:r>
      <w:r>
        <w:rPr>
          <w:rFonts w:hint="eastAsia" w:asciiTheme="minorEastAsia" w:hAnsiTheme="minorEastAsia" w:cstheme="minorEastAsia"/>
          <w:sz w:val="24"/>
          <w:szCs w:val="24"/>
        </w:rPr>
        <w:t xml:space="preserve"> -</w:t>
      </w:r>
      <w:r>
        <w:rPr>
          <w:rFonts w:asciiTheme="minorEastAsia" w:hAnsiTheme="minorEastAsia" w:cstheme="minorEastAsia"/>
          <w:sz w:val="24"/>
          <w:szCs w:val="24"/>
        </w:rPr>
        <w:t xml:space="preserve"> 姓名</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咨询电话：0797-7706766，联系人：朱女士</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2、筛选简历</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按照各岗位有关要求，初步筛选应聘人员简历，确定参加测试的人员。</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3、组织测试</w:t>
      </w:r>
    </w:p>
    <w:p>
      <w:pPr>
        <w:snapToGrid w:val="0"/>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sz w:val="24"/>
          <w:szCs w:val="24"/>
        </w:rPr>
        <w:t>根</w:t>
      </w:r>
      <w:r>
        <w:rPr>
          <w:rFonts w:hint="eastAsia" w:asciiTheme="minorEastAsia" w:hAnsiTheme="minorEastAsia" w:cstheme="minorEastAsia"/>
          <w:color w:val="000000" w:themeColor="text1"/>
          <w:sz w:val="24"/>
          <w:szCs w:val="24"/>
          <w14:textFill>
            <w14:solidFill>
              <w14:schemeClr w14:val="tx1"/>
            </w14:solidFill>
          </w14:textFill>
        </w:rPr>
        <w:t>据应聘情况，分批组织测试。</w:t>
      </w:r>
    </w:p>
    <w:p>
      <w:pPr>
        <w:snapToGrid w:val="0"/>
        <w:spacing w:line="360" w:lineRule="auto"/>
        <w:ind w:firstLine="480" w:firstLineChars="200"/>
        <w:rPr>
          <w:rFonts w:asciiTheme="minorEastAsia" w:hAnsiTheme="minorEastAsia" w:cstheme="minorEastAsia"/>
          <w:color w:val="000000" w:themeColor="text1"/>
          <w:sz w:val="24"/>
          <w:szCs w:val="24"/>
          <w14:textFill>
            <w14:solidFill>
              <w14:schemeClr w14:val="tx1"/>
            </w14:solidFill>
          </w14:textFill>
        </w:rPr>
      </w:pPr>
      <w:r>
        <w:rPr>
          <w:rFonts w:hint="eastAsia" w:asciiTheme="minorEastAsia" w:hAnsiTheme="minorEastAsia" w:cstheme="minorEastAsia"/>
          <w:color w:val="000000" w:themeColor="text1"/>
          <w:sz w:val="24"/>
          <w:szCs w:val="24"/>
          <w14:textFill>
            <w14:solidFill>
              <w14:schemeClr w14:val="tx1"/>
            </w14:solidFill>
          </w14:textFill>
        </w:rPr>
        <w:t>4、录用审核</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color w:val="000000" w:themeColor="text1"/>
          <w:sz w:val="24"/>
          <w:szCs w:val="24"/>
          <w14:textFill>
            <w14:solidFill>
              <w14:schemeClr w14:val="tx1"/>
            </w14:solidFill>
          </w14:textFill>
        </w:rPr>
        <w:t>总成绩择优入围拟录用人</w:t>
      </w:r>
      <w:r>
        <w:rPr>
          <w:rFonts w:hint="eastAsia" w:asciiTheme="minorEastAsia" w:hAnsiTheme="minorEastAsia" w:cstheme="minorEastAsia"/>
          <w:sz w:val="24"/>
          <w:szCs w:val="24"/>
        </w:rPr>
        <w:t>选，接受公司安排的入职体检和资格条件审核。</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5、办理入职</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体检合格，资格条件审核通过后，公司与录用人员签订劳动合同。</w:t>
      </w:r>
    </w:p>
    <w:p>
      <w:pPr>
        <w:snapToGrid w:val="0"/>
        <w:spacing w:line="360" w:lineRule="auto"/>
        <w:ind w:firstLine="361" w:firstLineChars="150"/>
        <w:rPr>
          <w:rFonts w:asciiTheme="minorEastAsia" w:hAnsiTheme="minorEastAsia" w:cstheme="minorEastAsia"/>
          <w:b/>
          <w:bCs/>
          <w:sz w:val="24"/>
          <w:szCs w:val="24"/>
        </w:rPr>
      </w:pPr>
      <w:r>
        <w:rPr>
          <w:rFonts w:hint="eastAsia" w:asciiTheme="minorEastAsia" w:hAnsiTheme="minorEastAsia" w:cstheme="minorEastAsia"/>
          <w:b/>
          <w:bCs/>
          <w:sz w:val="24"/>
          <w:szCs w:val="24"/>
        </w:rPr>
        <w:t>六、薪酬福利</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1、薪酬面议（提供与省内同等规模发电企业有竞争力的薪酬）；</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2、缴纳五险一金；</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3、享受业务培训、带薪休假、健康体检及节日慰问等职工福利及国家规定法定假期。</w:t>
      </w:r>
    </w:p>
    <w:p>
      <w:pPr>
        <w:snapToGrid w:val="0"/>
        <w:spacing w:line="360" w:lineRule="auto"/>
        <w:ind w:firstLine="482" w:firstLineChars="200"/>
        <w:rPr>
          <w:rFonts w:asciiTheme="minorEastAsia" w:hAnsiTheme="minorEastAsia" w:cstheme="minorEastAsia"/>
          <w:b/>
          <w:bCs/>
          <w:sz w:val="24"/>
          <w:szCs w:val="24"/>
        </w:rPr>
      </w:pPr>
      <w:r>
        <w:rPr>
          <w:rFonts w:asciiTheme="minorEastAsia" w:hAnsiTheme="minorEastAsia" w:cstheme="minorEastAsia"/>
          <w:b/>
          <w:bCs/>
          <w:sz w:val="24"/>
          <w:szCs w:val="24"/>
        </w:rPr>
        <w:t xml:space="preserve">七、注意事项 </w:t>
      </w:r>
    </w:p>
    <w:p>
      <w:pPr>
        <w:snapToGrid w:val="0"/>
        <w:spacing w:line="360" w:lineRule="auto"/>
        <w:ind w:firstLine="480" w:firstLineChars="200"/>
        <w:rPr>
          <w:rFonts w:asciiTheme="minorEastAsia" w:hAnsiTheme="minorEastAsia" w:cstheme="minorEastAsia"/>
          <w:sz w:val="24"/>
          <w:szCs w:val="24"/>
        </w:rPr>
      </w:pPr>
      <w:r>
        <w:rPr>
          <w:rFonts w:asciiTheme="minorEastAsia" w:hAnsiTheme="minorEastAsia" w:cstheme="minorEastAsia"/>
          <w:sz w:val="24"/>
          <w:szCs w:val="24"/>
        </w:rPr>
        <w:t>1、</w:t>
      </w:r>
      <w:r>
        <w:rPr>
          <w:rFonts w:hint="eastAsia" w:asciiTheme="minorEastAsia" w:hAnsiTheme="minorEastAsia" w:cstheme="minorEastAsia"/>
          <w:sz w:val="24"/>
          <w:szCs w:val="24"/>
        </w:rPr>
        <w:t>应聘人员填写材料</w:t>
      </w:r>
      <w:r>
        <w:rPr>
          <w:rFonts w:asciiTheme="minorEastAsia" w:hAnsiTheme="minorEastAsia" w:cstheme="minorEastAsia"/>
          <w:sz w:val="24"/>
          <w:szCs w:val="24"/>
        </w:rPr>
        <w:t>必须真实</w:t>
      </w:r>
      <w:r>
        <w:rPr>
          <w:rFonts w:hint="eastAsia" w:asciiTheme="minorEastAsia" w:hAnsiTheme="minorEastAsia" w:cstheme="minorEastAsia"/>
          <w:sz w:val="24"/>
          <w:szCs w:val="24"/>
        </w:rPr>
        <w:t>可靠</w:t>
      </w:r>
      <w:r>
        <w:rPr>
          <w:rFonts w:asciiTheme="minorEastAsia" w:hAnsiTheme="minorEastAsia" w:cstheme="minorEastAsia"/>
          <w:sz w:val="24"/>
          <w:szCs w:val="24"/>
        </w:rPr>
        <w:t>，因刻意隐瞒、提供虚假信息带来的一切后果，由应聘者本人承担。</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2、因工作繁忙，所提交的应聘材料除原件外，其他的恕不退还，公司履行保密义务，并将在适当时候予以销毁。</w:t>
      </w:r>
    </w:p>
    <w:p>
      <w:pPr>
        <w:snapToGrid w:val="0"/>
        <w:spacing w:line="360" w:lineRule="auto"/>
        <w:ind w:firstLine="480" w:firstLineChars="200"/>
        <w:rPr>
          <w:rFonts w:asciiTheme="minorEastAsia" w:hAnsiTheme="minorEastAsia" w:cstheme="minorEastAsia"/>
          <w:sz w:val="24"/>
          <w:szCs w:val="24"/>
        </w:rPr>
      </w:pPr>
    </w:p>
    <w:p>
      <w:pPr>
        <w:snapToGrid w:val="0"/>
        <w:spacing w:line="360" w:lineRule="auto"/>
        <w:ind w:firstLine="480" w:firstLineChars="200"/>
        <w:rPr>
          <w:rFonts w:asciiTheme="minorEastAsia" w:hAnsiTheme="minorEastAsia" w:cstheme="minorEastAsia"/>
          <w:sz w:val="24"/>
          <w:szCs w:val="24"/>
        </w:rPr>
      </w:pPr>
    </w:p>
    <w:p>
      <w:pPr>
        <w:snapToGrid w:val="0"/>
        <w:spacing w:line="360" w:lineRule="auto"/>
        <w:ind w:firstLine="5520" w:firstLineChars="2300"/>
        <w:rPr>
          <w:rFonts w:asciiTheme="minorEastAsia" w:hAnsiTheme="minorEastAsia" w:cstheme="minorEastAsia"/>
          <w:sz w:val="24"/>
          <w:szCs w:val="24"/>
        </w:rPr>
      </w:pPr>
      <w:r>
        <w:rPr>
          <w:rFonts w:hint="eastAsia" w:asciiTheme="minorEastAsia" w:hAnsiTheme="minorEastAsia" w:cstheme="minorEastAsia"/>
          <w:sz w:val="24"/>
          <w:szCs w:val="24"/>
        </w:rPr>
        <w:t>赣浙国华（信丰）发电有限责任公司</w:t>
      </w:r>
    </w:p>
    <w:p>
      <w:pPr>
        <w:snapToGrid w:val="0"/>
        <w:spacing w:line="360" w:lineRule="auto"/>
        <w:ind w:firstLine="6720" w:firstLineChars="2800"/>
        <w:rPr>
          <w:rFonts w:asciiTheme="minorEastAsia" w:hAnsiTheme="minorEastAsia" w:cstheme="minorEastAsia"/>
          <w:sz w:val="24"/>
          <w:szCs w:val="24"/>
        </w:rPr>
      </w:pPr>
      <w:r>
        <w:rPr>
          <w:rFonts w:asciiTheme="minorEastAsia" w:hAnsiTheme="minorEastAsia" w:cstheme="minorEastAsia"/>
          <w:sz w:val="24"/>
          <w:szCs w:val="24"/>
        </w:rPr>
        <w:t>2019</w:t>
      </w:r>
      <w:r>
        <w:rPr>
          <w:rFonts w:hint="eastAsia" w:asciiTheme="minorEastAsia" w:hAnsiTheme="minorEastAsia" w:cstheme="minorEastAsia"/>
          <w:sz w:val="24"/>
          <w:szCs w:val="24"/>
        </w:rPr>
        <w:t>年1</w:t>
      </w:r>
      <w:r>
        <w:rPr>
          <w:rFonts w:asciiTheme="minorEastAsia" w:hAnsiTheme="minorEastAsia" w:cstheme="minorEastAsia"/>
          <w:sz w:val="24"/>
          <w:szCs w:val="24"/>
        </w:rPr>
        <w:t>1</w:t>
      </w:r>
      <w:r>
        <w:rPr>
          <w:rFonts w:hint="eastAsia" w:asciiTheme="minorEastAsia" w:hAnsiTheme="minorEastAsia" w:cstheme="minorEastAsia"/>
          <w:sz w:val="24"/>
          <w:szCs w:val="24"/>
        </w:rPr>
        <w:t>月2</w:t>
      </w:r>
      <w:r>
        <w:rPr>
          <w:rFonts w:asciiTheme="minorEastAsia" w:hAnsiTheme="minorEastAsia" w:cstheme="minorEastAsia"/>
          <w:sz w:val="24"/>
          <w:szCs w:val="24"/>
        </w:rPr>
        <w:t>0</w:t>
      </w:r>
      <w:r>
        <w:rPr>
          <w:rFonts w:hint="eastAsia" w:asciiTheme="minorEastAsia" w:hAnsiTheme="minorEastAsia" w:cstheme="minorEastAsia"/>
          <w:sz w:val="24"/>
          <w:szCs w:val="24"/>
        </w:rPr>
        <w:t>日</w:t>
      </w:r>
    </w:p>
    <w:p>
      <w:pPr>
        <w:snapToGrid w:val="0"/>
        <w:spacing w:line="360" w:lineRule="auto"/>
        <w:ind w:firstLine="6960" w:firstLineChars="2900"/>
        <w:rPr>
          <w:rFonts w:asciiTheme="minorEastAsia" w:hAnsiTheme="minorEastAsia" w:cstheme="minorEastAsia"/>
          <w:sz w:val="24"/>
          <w:szCs w:val="24"/>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82"/>
    <w:rsid w:val="0003113B"/>
    <w:rsid w:val="00115D1B"/>
    <w:rsid w:val="00147AB1"/>
    <w:rsid w:val="00192B77"/>
    <w:rsid w:val="002030B4"/>
    <w:rsid w:val="00224A85"/>
    <w:rsid w:val="00237DE4"/>
    <w:rsid w:val="00252DDB"/>
    <w:rsid w:val="00261289"/>
    <w:rsid w:val="002746D5"/>
    <w:rsid w:val="002836A6"/>
    <w:rsid w:val="002B5135"/>
    <w:rsid w:val="002D52AA"/>
    <w:rsid w:val="002F39A1"/>
    <w:rsid w:val="00305AC6"/>
    <w:rsid w:val="00360E64"/>
    <w:rsid w:val="00370565"/>
    <w:rsid w:val="003723A3"/>
    <w:rsid w:val="003936FA"/>
    <w:rsid w:val="00454892"/>
    <w:rsid w:val="004643C1"/>
    <w:rsid w:val="0047643F"/>
    <w:rsid w:val="004A188A"/>
    <w:rsid w:val="004B7366"/>
    <w:rsid w:val="004E5C88"/>
    <w:rsid w:val="00523841"/>
    <w:rsid w:val="005311E0"/>
    <w:rsid w:val="00535995"/>
    <w:rsid w:val="00537143"/>
    <w:rsid w:val="00571718"/>
    <w:rsid w:val="005A791C"/>
    <w:rsid w:val="005B07F2"/>
    <w:rsid w:val="005B11D3"/>
    <w:rsid w:val="005D23BC"/>
    <w:rsid w:val="005E2A84"/>
    <w:rsid w:val="00640127"/>
    <w:rsid w:val="0068218D"/>
    <w:rsid w:val="006A5907"/>
    <w:rsid w:val="006E09B4"/>
    <w:rsid w:val="006E5D58"/>
    <w:rsid w:val="006F38C8"/>
    <w:rsid w:val="006F5823"/>
    <w:rsid w:val="00747FBA"/>
    <w:rsid w:val="00771833"/>
    <w:rsid w:val="00800E42"/>
    <w:rsid w:val="0080407C"/>
    <w:rsid w:val="00831154"/>
    <w:rsid w:val="0084129B"/>
    <w:rsid w:val="00844AD5"/>
    <w:rsid w:val="0089073A"/>
    <w:rsid w:val="008D1E42"/>
    <w:rsid w:val="008F1938"/>
    <w:rsid w:val="009562D4"/>
    <w:rsid w:val="00974C30"/>
    <w:rsid w:val="00995898"/>
    <w:rsid w:val="009C38B9"/>
    <w:rsid w:val="00A04525"/>
    <w:rsid w:val="00A22AD5"/>
    <w:rsid w:val="00A45782"/>
    <w:rsid w:val="00A6569E"/>
    <w:rsid w:val="00A673C0"/>
    <w:rsid w:val="00AF4E8B"/>
    <w:rsid w:val="00B13D02"/>
    <w:rsid w:val="00B40BDB"/>
    <w:rsid w:val="00B90A9E"/>
    <w:rsid w:val="00BA6AF8"/>
    <w:rsid w:val="00BB1629"/>
    <w:rsid w:val="00BB2FA4"/>
    <w:rsid w:val="00CA1951"/>
    <w:rsid w:val="00CB221B"/>
    <w:rsid w:val="00D331DD"/>
    <w:rsid w:val="00D854D4"/>
    <w:rsid w:val="00D86249"/>
    <w:rsid w:val="00D921CB"/>
    <w:rsid w:val="00DE26FB"/>
    <w:rsid w:val="00DF7389"/>
    <w:rsid w:val="00E061C8"/>
    <w:rsid w:val="00E318C3"/>
    <w:rsid w:val="00E47046"/>
    <w:rsid w:val="00EC7FE3"/>
    <w:rsid w:val="00F86A7D"/>
    <w:rsid w:val="00F86D8F"/>
    <w:rsid w:val="00F901A4"/>
    <w:rsid w:val="00F92A60"/>
    <w:rsid w:val="00FD6866"/>
    <w:rsid w:val="00FF03B2"/>
    <w:rsid w:val="0353131C"/>
    <w:rsid w:val="3F1133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字符"/>
    <w:basedOn w:val="9"/>
    <w:link w:val="5"/>
    <w:semiHidden/>
    <w:qFormat/>
    <w:uiPriority w:val="99"/>
    <w:rPr>
      <w:sz w:val="18"/>
      <w:szCs w:val="18"/>
    </w:rPr>
  </w:style>
  <w:style w:type="character" w:customStyle="1" w:styleId="12">
    <w:name w:val="页脚 字符"/>
    <w:basedOn w:val="9"/>
    <w:link w:val="4"/>
    <w:semiHidden/>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1 字符"/>
    <w:basedOn w:val="9"/>
    <w:link w:val="2"/>
    <w:uiPriority w:val="9"/>
    <w:rPr>
      <w:rFonts w:ascii="宋体" w:hAnsi="宋体" w:eastAsia="宋体" w:cs="宋体"/>
      <w:b/>
      <w:bCs/>
      <w:kern w:val="36"/>
      <w:sz w:val="48"/>
      <w:szCs w:val="48"/>
    </w:rPr>
  </w:style>
  <w:style w:type="character" w:customStyle="1" w:styleId="15">
    <w:name w:val="批注框文本 字符"/>
    <w:basedOn w:val="9"/>
    <w:link w:val="3"/>
    <w:semiHidden/>
    <w:qFormat/>
    <w:uiPriority w:val="99"/>
    <w:rPr>
      <w:sz w:val="18"/>
      <w:szCs w:val="18"/>
    </w:rPr>
  </w:style>
  <w:style w:type="character" w:customStyle="1" w:styleId="16">
    <w:name w:val="Unresolved Mention"/>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204</Words>
  <Characters>1165</Characters>
  <Lines>9</Lines>
  <Paragraphs>2</Paragraphs>
  <TotalTime>5</TotalTime>
  <ScaleCrop>false</ScaleCrop>
  <LinksUpToDate>false</LinksUpToDate>
  <CharactersWithSpaces>1367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2019-11-21T07:12:00Z</dcterms:created>
  <dc:creator>Windows User</dc:creator>
  <cp:lastModifiedBy>张敏 赣州人事人才网-18000274207</cp:lastModifiedBy>
  <cp:lastPrinted>2019-11-11T08:27:00Z</cp:lastPrinted>
  <dcterms:modified xsi:type="dcterms:W3CDTF">2019-11-22T08:40:39Z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