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江西省考试录用公务员考生体检须知</w:t>
      </w:r>
      <w:bookmarkStart w:id="0" w:name="_GoBack"/>
      <w:bookmarkEnd w:id="0"/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受检者</w:t>
      </w:r>
      <w:r>
        <w:rPr>
          <w:rFonts w:hint="eastAsia" w:ascii="仿宋_GB2312" w:hAnsi="仿宋_GB2312" w:cs="仿宋_GB2312"/>
          <w:sz w:val="28"/>
          <w:szCs w:val="28"/>
        </w:rPr>
        <w:t>身体的真实状况，请注意以下事项：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二、严禁弄虚作假、冒名顶替；如隐瞒病史影响体检结果的，后果自负。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240" w:lineRule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06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在青春飞舞的笑颜</cp:lastModifiedBy>
  <dcterms:modified xsi:type="dcterms:W3CDTF">2019-07-01T10:40:37Z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