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widowControl/>
        <w:spacing w:line="330" w:lineRule="atLeast"/>
        <w:jc w:val="center"/>
        <w:rPr>
          <w:rFonts w:ascii="仿宋" w:hAnsi="仿宋" w:eastAsia="仿宋" w:cs="仿宋_GB2312"/>
          <w:b/>
          <w:bCs/>
          <w:spacing w:val="-20"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pacing w:val="-20"/>
          <w:sz w:val="36"/>
          <w:szCs w:val="36"/>
        </w:rPr>
        <w:t>应聘报名表</w:t>
      </w:r>
    </w:p>
    <w:tbl>
      <w:tblPr>
        <w:tblStyle w:val="3"/>
        <w:tblpPr w:leftFromText="180" w:rightFromText="180" w:vertAnchor="text" w:horzAnchor="margin" w:tblpXSpec="center" w:tblpY="479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1801" w:type="dxa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省   市（县）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9" w:hRule="atLeast"/>
        </w:trPr>
        <w:tc>
          <w:tcPr>
            <w:tcW w:w="18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4"/>
        </w:rPr>
      </w:pPr>
    </w:p>
    <w:p>
      <w:pPr>
        <w:jc w:val="left"/>
        <w:rPr>
          <w:rFonts w:ascii="仿宋" w:hAnsi="仿宋" w:eastAsia="仿宋" w:cs="仿宋"/>
          <w:sz w:val="24"/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5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 员及主要社会</w:t>
            </w:r>
          </w:p>
          <w:p>
            <w:pPr>
              <w:spacing w:line="300" w:lineRule="exact"/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 长及突出业绩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或处分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审核人：                            审核日期：   年  月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说明：1、此表可打印或用黑色水笔填写，字迹要清楚；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>2、此表须如实填写，经审核发现与事实不符的，取消报名资格 。</w:t>
      </w:r>
    </w:p>
    <w:p>
      <w:pPr>
        <w:ind w:firstLine="560" w:firstLineChars="200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89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2019-01-11T07:26:46Z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