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薪酬福利待遇</w:t>
      </w:r>
    </w:p>
    <w:tbl>
      <w:tblPr>
        <w:tblW w:w="926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597"/>
        <w:gridCol w:w="1022"/>
        <w:gridCol w:w="1096"/>
        <w:gridCol w:w="1300"/>
        <w:gridCol w:w="1330"/>
        <w:gridCol w:w="22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职称</w:t>
            </w:r>
          </w:p>
        </w:tc>
        <w:tc>
          <w:tcPr>
            <w:tcW w:w="15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薪酬</w:t>
            </w:r>
          </w:p>
        </w:tc>
        <w:tc>
          <w:tcPr>
            <w:tcW w:w="2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安家费</w:t>
            </w:r>
          </w:p>
        </w:tc>
        <w:tc>
          <w:tcPr>
            <w:tcW w:w="26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人才津贴</w:t>
            </w:r>
          </w:p>
        </w:tc>
        <w:tc>
          <w:tcPr>
            <w:tcW w:w="22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硕士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博士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2"/>
                <w:lang w:val="en-US" w:eastAsia="zh-CN" w:bidi="ar"/>
              </w:rPr>
              <w:t>硕士及以下</w:t>
            </w:r>
          </w:p>
        </w:tc>
        <w:tc>
          <w:tcPr>
            <w:tcW w:w="22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科室负责人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60-70万元/年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50万元（税前）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2.4万元/年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1.2万元/年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1.政府博士补贴：落户给予3万元安家费，购房再给予10万元购房补贴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2.安家费、购房补贴申领须与单位签订5年以上合同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3.提供三室一厅（约110平米）住房一套，免租金使用三年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正高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20-45万元/年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50万元（税前）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2.4万元/年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1.2万元/年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1.政府博士补贴：落户给予3万元安家费，购房再给予10万元购房补贴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2.安家费、购房补贴申领须与单位签订5年以上合同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3.享受国家规定的社会保险、职业年金和住房公积金等相应福利待遇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4.纳入惠州市事业单位正式编制管理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5.提供员工廉租房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6.报销面试往返交通费用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副高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30万元（税前）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（45周岁以下）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20万元（税前）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15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20万元（税前）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87A8E"/>
    <w:rsid w:val="2FC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2020-06-12T09:03:00Z</dcterms:created>
  <dc:creator>Administrator</dc:creator>
  <cp:lastModifiedBy>Administrator</cp:lastModifiedBy>
  <dcterms:modified xsi:type="dcterms:W3CDTF">2020-06-12T09:04:50Z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