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1" w:lineRule="atLeast"/>
        <w:ind w:left="126" w:right="0"/>
        <w:jc w:val="center"/>
        <w:rPr>
          <w:rFonts w:hint="eastAsia" w:ascii="黑体" w:hAnsi="宋体" w:eastAsia="黑体" w:cs="黑体"/>
          <w:b/>
          <w:sz w:val="25"/>
          <w:szCs w:val="25"/>
        </w:rPr>
      </w:pPr>
      <w:r>
        <w:rPr>
          <w:rFonts w:hint="eastAsia" w:ascii="黑体" w:hAnsi="宋体" w:eastAsia="黑体" w:cs="黑体"/>
          <w:b/>
          <w:sz w:val="25"/>
          <w:szCs w:val="25"/>
          <w:bdr w:val="none" w:color="auto" w:sz="0" w:space="0"/>
          <w:shd w:val="clear" w:fill="FFFFFF"/>
        </w:rPr>
        <w:t>2020年南阳市卧龙区人民检察院公开招聘书记员总成绩</w:t>
      </w:r>
    </w:p>
    <w:tbl>
      <w:tblPr>
        <w:tblW w:w="6120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884"/>
        <w:gridCol w:w="1650"/>
        <w:gridCol w:w="990"/>
        <w:gridCol w:w="91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1001_财会金融类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20010010104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66.36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1001_财会金融类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20010010108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77.33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1001_财会金融类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20010010101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72.66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1002_文秘类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20010020111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75.58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1002_文秘类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20010020112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74.08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1002_文秘类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20010020117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40.05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20010030315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75.11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20010030910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73.70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20010030919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71.98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20010031330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72.73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20010030525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78.27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20010030129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70.88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20010031329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73.93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20010031209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71.45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20010031218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74.79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20010031319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70.54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20010030301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70.96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20010031301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71.48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20010031307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78.43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20010030817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78.36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20010030908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71.53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20010031320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72.45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20010031326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74.11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20010031201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78.71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20010030123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75.32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20010030314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71.97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20010031229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39.78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20010030909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38.67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20010030130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38.64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1005_专业不限类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20010030711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38.58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99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F27F9"/>
    <w:rsid w:val="722F2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2B2B2B"/>
      <w:kern w:val="0"/>
      <w:sz w:val="17"/>
      <w:szCs w:val="1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2B2B2B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2B2B2B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2020-10-14T08:29:00Z</dcterms:created>
  <dc:creator>ASUS</dc:creator>
  <cp:lastModifiedBy>ASUS</cp:lastModifiedBy>
  <dcterms:modified xsi:type="dcterms:W3CDTF">2020-10-14T08:29:26Z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