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672" w:type="dxa"/>
        <w:shd w:val="clear" w:color="auto" w:fill="FFFFFF"/>
        <w:tblCellMar>
          <w:left w:w="0" w:type="dxa"/>
          <w:right w:w="0" w:type="dxa"/>
        </w:tblCellMar>
        <w:tblLook w:val="04A0"/>
      </w:tblPr>
      <w:tblGrid>
        <w:gridCol w:w="463"/>
        <w:gridCol w:w="455"/>
        <w:gridCol w:w="455"/>
        <w:gridCol w:w="455"/>
        <w:gridCol w:w="761"/>
        <w:gridCol w:w="455"/>
        <w:gridCol w:w="611"/>
        <w:gridCol w:w="1243"/>
        <w:gridCol w:w="1290"/>
        <w:gridCol w:w="484"/>
      </w:tblGrid>
      <w:tr w:rsidR="00840E36" w:rsidRPr="00840E36" w:rsidTr="00840E36">
        <w:trPr>
          <w:trHeight w:val="264"/>
        </w:trPr>
        <w:tc>
          <w:tcPr>
            <w:tcW w:w="864" w:type="dxa"/>
            <w:gridSpan w:val="3"/>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附件2</w:t>
            </w: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c>
          <w:tcPr>
            <w:tcW w:w="648"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c>
          <w:tcPr>
            <w:tcW w:w="43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c>
          <w:tcPr>
            <w:tcW w:w="207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264"/>
        </w:trPr>
        <w:tc>
          <w:tcPr>
            <w:tcW w:w="8172" w:type="dxa"/>
            <w:gridSpan w:val="10"/>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保定市清苑区2019年公开招聘农村中小学教师岗位信息表</w:t>
            </w:r>
          </w:p>
        </w:tc>
      </w:tr>
      <w:tr w:rsidR="00840E36" w:rsidRPr="00840E36" w:rsidTr="00840E36">
        <w:trPr>
          <w:trHeight w:val="315"/>
        </w:trPr>
        <w:tc>
          <w:tcPr>
            <w:tcW w:w="480" w:type="dxa"/>
            <w:vMerge w:val="restart"/>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单位名称</w:t>
            </w:r>
          </w:p>
        </w:tc>
        <w:tc>
          <w:tcPr>
            <w:tcW w:w="372" w:type="dxa"/>
            <w:vMerge w:val="restart"/>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单位性质</w:t>
            </w:r>
          </w:p>
        </w:tc>
        <w:tc>
          <w:tcPr>
            <w:tcW w:w="432" w:type="dxa"/>
            <w:vMerge w:val="restart"/>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小计</w:t>
            </w: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c>
          <w:tcPr>
            <w:tcW w:w="6960" w:type="dxa"/>
            <w:gridSpan w:val="6"/>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招聘岗位条件</w:t>
            </w:r>
          </w:p>
        </w:tc>
      </w:tr>
      <w:tr w:rsidR="00840E36" w:rsidRPr="00840E36" w:rsidTr="00840E36">
        <w:trPr>
          <w:trHeight w:val="645"/>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岗位代码</w:t>
            </w:r>
          </w:p>
        </w:tc>
        <w:tc>
          <w:tcPr>
            <w:tcW w:w="648"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岗位名称  </w:t>
            </w:r>
          </w:p>
        </w:tc>
        <w:tc>
          <w:tcPr>
            <w:tcW w:w="43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招聘数量</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学历学位</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专业</w:t>
            </w:r>
          </w:p>
        </w:tc>
        <w:tc>
          <w:tcPr>
            <w:tcW w:w="207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其他条件</w:t>
            </w: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备注</w:t>
            </w:r>
          </w:p>
        </w:tc>
      </w:tr>
      <w:tr w:rsidR="00840E36" w:rsidRPr="00840E36" w:rsidTr="00840E36">
        <w:trPr>
          <w:trHeight w:val="510"/>
        </w:trPr>
        <w:tc>
          <w:tcPr>
            <w:tcW w:w="480" w:type="dxa"/>
            <w:vMerge w:val="restart"/>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清苑区教育和体育局</w:t>
            </w:r>
          </w:p>
        </w:tc>
        <w:tc>
          <w:tcPr>
            <w:tcW w:w="372" w:type="dxa"/>
            <w:vMerge w:val="restart"/>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全额事业</w:t>
            </w:r>
          </w:p>
        </w:tc>
        <w:tc>
          <w:tcPr>
            <w:tcW w:w="432" w:type="dxa"/>
            <w:vMerge w:val="restart"/>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186</w:t>
            </w: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01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小学语文</w:t>
            </w:r>
          </w:p>
        </w:tc>
        <w:tc>
          <w:tcPr>
            <w:tcW w:w="43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40</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全日制普通类专科及以上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专业不限</w:t>
            </w:r>
          </w:p>
        </w:tc>
        <w:tc>
          <w:tcPr>
            <w:tcW w:w="2076" w:type="dxa"/>
            <w:vMerge w:val="restart"/>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    1、符合招聘岗位所需教师资格、学历（毕业证、毕业生派遣证或报到证）、专业和技能条件；2、适应岗位要求的身体条件；3、年龄不超</w:t>
            </w:r>
            <w:r w:rsidRPr="00840E36">
              <w:rPr>
                <w:rFonts w:ascii="微软雅黑" w:eastAsia="微软雅黑" w:hAnsi="微软雅黑" w:cs="宋体" w:hint="eastAsia"/>
                <w:color w:val="333333"/>
                <w:spacing w:val="7"/>
                <w:kern w:val="0"/>
                <w:sz w:val="20"/>
                <w:szCs w:val="20"/>
              </w:rPr>
              <w:lastRenderedPageBreak/>
              <w:t>过30周岁（1988年7月1日以后出生）；4、户口本、身份证不能体现保定市(含定州市、雄安新区）生源地的，须提供当地派出所证明；5、清苑区公办学校任教一年以上的顶岗教师报考小学岗位可放宽至非全日</w:t>
            </w:r>
            <w:r w:rsidRPr="00840E36">
              <w:rPr>
                <w:rFonts w:ascii="微软雅黑" w:eastAsia="微软雅黑" w:hAnsi="微软雅黑" w:cs="宋体" w:hint="eastAsia"/>
                <w:color w:val="333333"/>
                <w:spacing w:val="7"/>
                <w:kern w:val="0"/>
                <w:sz w:val="20"/>
                <w:szCs w:val="20"/>
              </w:rPr>
              <w:lastRenderedPageBreak/>
              <w:t>制专科及以上学历，且初始学历为全日制高中或职中、中专；6、已参加教师资格考试，未取得教师资格证的，须提供有效的教师资格面试合格证，并于2019年8月31日前取得教师资格证。</w:t>
            </w: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510"/>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02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小学数学</w:t>
            </w:r>
          </w:p>
        </w:tc>
        <w:tc>
          <w:tcPr>
            <w:tcW w:w="43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40</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全日制</w:t>
            </w:r>
            <w:r w:rsidRPr="00840E36">
              <w:rPr>
                <w:rFonts w:ascii="微软雅黑" w:eastAsia="微软雅黑" w:hAnsi="微软雅黑" w:cs="宋体" w:hint="eastAsia"/>
                <w:color w:val="333333"/>
                <w:spacing w:val="7"/>
                <w:kern w:val="0"/>
                <w:sz w:val="20"/>
                <w:szCs w:val="20"/>
              </w:rPr>
              <w:lastRenderedPageBreak/>
              <w:t>普通类专科及以上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lastRenderedPageBreak/>
              <w:t>专业不限</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510"/>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03</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小学英语</w:t>
            </w:r>
          </w:p>
        </w:tc>
        <w:tc>
          <w:tcPr>
            <w:tcW w:w="43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40</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全日制普通类专科及以上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专业不限</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510"/>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04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小学音乐</w:t>
            </w:r>
          </w:p>
        </w:tc>
        <w:tc>
          <w:tcPr>
            <w:tcW w:w="43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10</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全日</w:t>
            </w:r>
            <w:r w:rsidRPr="00840E36">
              <w:rPr>
                <w:rFonts w:ascii="微软雅黑" w:eastAsia="微软雅黑" w:hAnsi="微软雅黑" w:cs="宋体" w:hint="eastAsia"/>
                <w:color w:val="333333"/>
                <w:spacing w:val="7"/>
                <w:kern w:val="0"/>
                <w:sz w:val="20"/>
                <w:szCs w:val="20"/>
              </w:rPr>
              <w:lastRenderedPageBreak/>
              <w:t>制普通类专科及以上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lastRenderedPageBreak/>
              <w:t>音乐学、音乐教育及</w:t>
            </w:r>
            <w:r w:rsidRPr="00840E36">
              <w:rPr>
                <w:rFonts w:ascii="微软雅黑" w:eastAsia="微软雅黑" w:hAnsi="微软雅黑" w:cs="宋体" w:hint="eastAsia"/>
                <w:color w:val="333333"/>
                <w:spacing w:val="7"/>
                <w:kern w:val="0"/>
                <w:sz w:val="20"/>
                <w:szCs w:val="20"/>
              </w:rPr>
              <w:lastRenderedPageBreak/>
              <w:t>相近专业</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510"/>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05</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小学体育</w:t>
            </w:r>
          </w:p>
        </w:tc>
        <w:tc>
          <w:tcPr>
            <w:tcW w:w="43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10</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全日制普通类专科及以上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体育、体育教育及相近专业</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510"/>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0</w:t>
            </w:r>
            <w:r w:rsidRPr="00840E36">
              <w:rPr>
                <w:rFonts w:ascii="微软雅黑" w:eastAsia="微软雅黑" w:hAnsi="微软雅黑" w:cs="宋体" w:hint="eastAsia"/>
                <w:color w:val="333333"/>
                <w:spacing w:val="7"/>
                <w:kern w:val="0"/>
                <w:sz w:val="20"/>
                <w:szCs w:val="20"/>
              </w:rPr>
              <w:lastRenderedPageBreak/>
              <w:t>6</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lastRenderedPageBreak/>
              <w:t>小学</w:t>
            </w:r>
            <w:r w:rsidRPr="00840E36">
              <w:rPr>
                <w:rFonts w:ascii="微软雅黑" w:eastAsia="微软雅黑" w:hAnsi="微软雅黑" w:cs="宋体" w:hint="eastAsia"/>
                <w:color w:val="333333"/>
                <w:spacing w:val="7"/>
                <w:kern w:val="0"/>
                <w:sz w:val="20"/>
                <w:szCs w:val="20"/>
              </w:rPr>
              <w:lastRenderedPageBreak/>
              <w:t>美术</w:t>
            </w:r>
          </w:p>
        </w:tc>
        <w:tc>
          <w:tcPr>
            <w:tcW w:w="43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lastRenderedPageBreak/>
              <w:t>1</w:t>
            </w:r>
            <w:r w:rsidRPr="00840E36">
              <w:rPr>
                <w:rFonts w:ascii="微软雅黑" w:eastAsia="微软雅黑" w:hAnsi="微软雅黑" w:cs="宋体" w:hint="eastAsia"/>
                <w:color w:val="333333"/>
                <w:spacing w:val="7"/>
                <w:kern w:val="0"/>
                <w:sz w:val="20"/>
                <w:szCs w:val="20"/>
              </w:rPr>
              <w:lastRenderedPageBreak/>
              <w:t>0</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lastRenderedPageBreak/>
              <w:t>全</w:t>
            </w:r>
            <w:r w:rsidRPr="00840E36">
              <w:rPr>
                <w:rFonts w:ascii="微软雅黑" w:eastAsia="微软雅黑" w:hAnsi="微软雅黑" w:cs="宋体" w:hint="eastAsia"/>
                <w:color w:val="333333"/>
                <w:spacing w:val="7"/>
                <w:kern w:val="0"/>
                <w:sz w:val="20"/>
                <w:szCs w:val="20"/>
              </w:rPr>
              <w:lastRenderedPageBreak/>
              <w:t>日制普通类专科及以上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lastRenderedPageBreak/>
              <w:t>美术、美术</w:t>
            </w:r>
            <w:r w:rsidRPr="00840E36">
              <w:rPr>
                <w:rFonts w:ascii="微软雅黑" w:eastAsia="微软雅黑" w:hAnsi="微软雅黑" w:cs="宋体" w:hint="eastAsia"/>
                <w:color w:val="333333"/>
                <w:spacing w:val="7"/>
                <w:kern w:val="0"/>
                <w:sz w:val="20"/>
                <w:szCs w:val="20"/>
              </w:rPr>
              <w:lastRenderedPageBreak/>
              <w:t>教育及相近专业</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510"/>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07</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中学语文</w:t>
            </w:r>
          </w:p>
        </w:tc>
        <w:tc>
          <w:tcPr>
            <w:tcW w:w="43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6</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全日制普通类本科及以上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汉语言文学、语文教育及相近专业</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765"/>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08</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中学数学</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6</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全日制普通类本科及以上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数学与应用数学、应用数学、基础数学、数学教育、数学、信息与计算科学、数理基础科学及相近专业</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765"/>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09</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中学英语</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6</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全日制普通类本科及以</w:t>
            </w:r>
            <w:r w:rsidRPr="00840E36">
              <w:rPr>
                <w:rFonts w:ascii="微软雅黑" w:eastAsia="微软雅黑" w:hAnsi="微软雅黑" w:cs="宋体" w:hint="eastAsia"/>
                <w:color w:val="333333"/>
                <w:spacing w:val="7"/>
                <w:kern w:val="0"/>
                <w:sz w:val="20"/>
                <w:szCs w:val="20"/>
              </w:rPr>
              <w:lastRenderedPageBreak/>
              <w:t>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lastRenderedPageBreak/>
              <w:t>英语、英语教育、应用英语、旅游英语及相近专业</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765"/>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10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中学物理</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6</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全日制普通类本科及以上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物理学、物理教育、应用物理学、声学、工程物理、材料物理、工程力学、核物理、理论物理学及相近专业</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765"/>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11</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中学化学</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6</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全日制普通类本科及</w:t>
            </w:r>
            <w:r w:rsidRPr="00840E36">
              <w:rPr>
                <w:rFonts w:ascii="微软雅黑" w:eastAsia="微软雅黑" w:hAnsi="微软雅黑" w:cs="宋体" w:hint="eastAsia"/>
                <w:color w:val="333333"/>
                <w:spacing w:val="7"/>
                <w:kern w:val="0"/>
                <w:sz w:val="20"/>
                <w:szCs w:val="20"/>
              </w:rPr>
              <w:lastRenderedPageBreak/>
              <w:t>以上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lastRenderedPageBreak/>
              <w:t>化学、化学教育、应用化学、化学生物学、分子科学与工程、有机化学、无机化学及相近专业</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r w:rsidR="00840E36" w:rsidRPr="00840E36" w:rsidTr="00840E36">
        <w:trPr>
          <w:trHeight w:val="765"/>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420"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12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中学生物</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6</w:t>
            </w:r>
          </w:p>
        </w:tc>
        <w:tc>
          <w:tcPr>
            <w:tcW w:w="91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全日制普通类本科及以上</w:t>
            </w:r>
          </w:p>
        </w:tc>
        <w:tc>
          <w:tcPr>
            <w:tcW w:w="2352"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r w:rsidRPr="00840E36">
              <w:rPr>
                <w:rFonts w:ascii="微软雅黑" w:eastAsia="微软雅黑" w:hAnsi="微软雅黑" w:cs="宋体" w:hint="eastAsia"/>
                <w:color w:val="333333"/>
                <w:spacing w:val="7"/>
                <w:kern w:val="0"/>
                <w:sz w:val="20"/>
                <w:szCs w:val="20"/>
              </w:rPr>
              <w:t>生物、生物教育、动物学、植物学、遗传学、细胞生物学、发育生物学、生物化学及分子生物学及相近专业</w:t>
            </w:r>
          </w:p>
        </w:tc>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840E36" w:rsidRPr="00840E36" w:rsidRDefault="00840E36" w:rsidP="00840E36">
            <w:pPr>
              <w:widowControl/>
              <w:jc w:val="left"/>
              <w:rPr>
                <w:rFonts w:ascii="微软雅黑" w:eastAsia="微软雅黑" w:hAnsi="微软雅黑" w:cs="宋体"/>
                <w:color w:val="333333"/>
                <w:spacing w:val="7"/>
                <w:kern w:val="0"/>
                <w:sz w:val="20"/>
                <w:szCs w:val="20"/>
              </w:rPr>
            </w:pPr>
          </w:p>
        </w:tc>
        <w:tc>
          <w:tcPr>
            <w:tcW w:w="516" w:type="dxa"/>
            <w:tcBorders>
              <w:top w:val="single" w:sz="4" w:space="0" w:color="DDDDDD"/>
              <w:left w:val="single" w:sz="4" w:space="0" w:color="DDDDDD"/>
              <w:bottom w:val="single" w:sz="4" w:space="0" w:color="DDDDDD"/>
              <w:right w:val="single" w:sz="4" w:space="0" w:color="DDDDDD"/>
            </w:tcBorders>
            <w:shd w:val="clear" w:color="auto" w:fill="FFFFFF"/>
            <w:tcMar>
              <w:top w:w="60" w:type="dxa"/>
              <w:left w:w="120" w:type="dxa"/>
              <w:bottom w:w="60" w:type="dxa"/>
              <w:right w:w="120" w:type="dxa"/>
            </w:tcMar>
            <w:vAlign w:val="center"/>
            <w:hideMark/>
          </w:tcPr>
          <w:p w:rsidR="00840E36" w:rsidRPr="00840E36" w:rsidRDefault="00840E36" w:rsidP="00840E36">
            <w:pPr>
              <w:widowControl/>
              <w:wordWrap w:val="0"/>
              <w:rPr>
                <w:rFonts w:ascii="微软雅黑" w:eastAsia="微软雅黑" w:hAnsi="微软雅黑" w:cs="宋体"/>
                <w:color w:val="333333"/>
                <w:spacing w:val="7"/>
                <w:kern w:val="0"/>
                <w:sz w:val="20"/>
                <w:szCs w:val="20"/>
              </w:rPr>
            </w:pPr>
          </w:p>
        </w:tc>
      </w:tr>
    </w:tbl>
    <w:p w:rsidR="00840E36" w:rsidRPr="00840E36" w:rsidRDefault="00840E36" w:rsidP="00840E36">
      <w:pPr>
        <w:widowControl/>
        <w:shd w:val="clear" w:color="auto" w:fill="FFFFFF"/>
        <w:rPr>
          <w:rFonts w:ascii="微软雅黑" w:eastAsia="微软雅黑" w:hAnsi="微软雅黑" w:cs="宋体"/>
          <w:color w:val="333333"/>
          <w:spacing w:val="7"/>
          <w:kern w:val="0"/>
          <w:sz w:val="20"/>
          <w:szCs w:val="20"/>
        </w:rPr>
      </w:pPr>
    </w:p>
    <w:p w:rsidR="000A086E" w:rsidRPr="00840E36" w:rsidRDefault="000A086E"/>
    <w:sectPr w:rsidR="000A086E" w:rsidRPr="00840E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86E" w:rsidRDefault="000A086E" w:rsidP="00840E36">
      <w:r>
        <w:separator/>
      </w:r>
    </w:p>
  </w:endnote>
  <w:endnote w:type="continuationSeparator" w:id="1">
    <w:p w:rsidR="000A086E" w:rsidRDefault="000A086E" w:rsidP="00840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86E" w:rsidRDefault="000A086E" w:rsidP="00840E36">
      <w:r>
        <w:separator/>
      </w:r>
    </w:p>
  </w:footnote>
  <w:footnote w:type="continuationSeparator" w:id="1">
    <w:p w:rsidR="000A086E" w:rsidRDefault="000A086E" w:rsidP="00840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0E36"/>
    <w:rsid w:val="000A086E"/>
    <w:rsid w:val="00840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E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E36"/>
    <w:rPr>
      <w:sz w:val="18"/>
      <w:szCs w:val="18"/>
    </w:rPr>
  </w:style>
  <w:style w:type="paragraph" w:styleId="a4">
    <w:name w:val="footer"/>
    <w:basedOn w:val="a"/>
    <w:link w:val="Char0"/>
    <w:uiPriority w:val="99"/>
    <w:semiHidden/>
    <w:unhideWhenUsed/>
    <w:rsid w:val="00840E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E36"/>
    <w:rPr>
      <w:sz w:val="18"/>
      <w:szCs w:val="18"/>
    </w:rPr>
  </w:style>
  <w:style w:type="paragraph" w:styleId="a5">
    <w:name w:val="Normal (Web)"/>
    <w:basedOn w:val="a"/>
    <w:uiPriority w:val="99"/>
    <w:semiHidden/>
    <w:unhideWhenUsed/>
    <w:rsid w:val="00840E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788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Company>china</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2019-07-09T01:52:00Z</dcterms:created>
  <dcterms:modified xsi:type="dcterms:W3CDTF">2019-07-09T01:53:00Z</dcterms:modified>
</cp:coreProperties>
</file>