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360" w:lineRule="auto"/>
        <w:jc w:val="center"/>
        <w:rPr>
          <w:rFonts w:ascii="黑体" w:hAnsi="黑体" w:eastAsia="黑体"/>
          <w:sz w:val="36"/>
          <w:szCs w:val="36"/>
        </w:rPr>
      </w:pPr>
      <w:r>
        <w:rPr>
          <w:rFonts w:hint="eastAsia" w:ascii="黑体" w:hAnsi="黑体" w:eastAsia="黑体" w:cs="黑体"/>
          <w:sz w:val="36"/>
          <w:szCs w:val="36"/>
        </w:rPr>
        <w:t>佛山市南海区妇幼保健院</w:t>
      </w:r>
    </w:p>
    <w:p>
      <w:pPr>
        <w:spacing w:after="0" w:line="360" w:lineRule="auto"/>
        <w:jc w:val="center"/>
        <w:rPr>
          <w:rFonts w:ascii="黑体" w:hAnsi="黑体" w:eastAsia="黑体"/>
          <w:sz w:val="36"/>
          <w:szCs w:val="36"/>
        </w:rPr>
      </w:pPr>
      <w:r>
        <w:rPr>
          <w:rFonts w:ascii="黑体" w:hAnsi="黑体" w:eastAsia="黑体" w:cs="黑体"/>
          <w:sz w:val="36"/>
          <w:szCs w:val="36"/>
        </w:rPr>
        <w:t>201</w:t>
      </w:r>
      <w:r>
        <w:rPr>
          <w:rFonts w:hint="eastAsia" w:ascii="黑体" w:hAnsi="黑体" w:eastAsia="黑体" w:cs="黑体"/>
          <w:sz w:val="36"/>
          <w:szCs w:val="36"/>
        </w:rPr>
        <w:t>9年住院医师规范化培训招生简章</w:t>
      </w:r>
    </w:p>
    <w:p>
      <w:pPr>
        <w:pStyle w:val="16"/>
        <w:spacing w:after="0" w:line="300" w:lineRule="auto"/>
        <w:ind w:left="-720" w:firstLine="562"/>
        <w:jc w:val="both"/>
        <w:rPr>
          <w:rFonts w:ascii="仿宋_GB2312" w:hAnsi="仿宋_GB2312" w:eastAsia="仿宋_GB2312"/>
          <w:b/>
          <w:bCs/>
          <w:sz w:val="28"/>
          <w:szCs w:val="28"/>
        </w:rPr>
      </w:pPr>
      <w:r>
        <w:rPr>
          <w:rFonts w:ascii="宋体" w:hAnsi="宋体" w:cs="宋体"/>
          <w:b/>
          <w:bCs/>
          <w:sz w:val="28"/>
          <w:szCs w:val="28"/>
        </w:rPr>
        <w:t xml:space="preserve">         </w:t>
      </w:r>
      <w:r>
        <w:rPr>
          <w:rFonts w:hint="eastAsia" w:ascii="仿宋_GB2312" w:hAnsi="仿宋_GB2312" w:eastAsia="仿宋_GB2312" w:cs="仿宋_GB2312"/>
          <w:b/>
          <w:bCs/>
          <w:sz w:val="28"/>
          <w:szCs w:val="28"/>
        </w:rPr>
        <w:t>一、医院简介</w:t>
      </w:r>
    </w:p>
    <w:p>
      <w:pPr>
        <w:spacing w:after="0" w:line="360" w:lineRule="auto"/>
        <w:ind w:firstLine="560" w:firstLineChars="200"/>
        <w:rPr>
          <w:rFonts w:hint="eastAsia" w:ascii="仿宋_GB2312" w:eastAsia="仿宋_GB2312"/>
          <w:sz w:val="28"/>
          <w:szCs w:val="28"/>
        </w:rPr>
      </w:pPr>
      <w:r>
        <w:rPr>
          <w:rFonts w:hint="eastAsia" w:ascii="仿宋_GB2312" w:eastAsia="仿宋_GB2312"/>
          <w:sz w:val="28"/>
          <w:szCs w:val="28"/>
        </w:rPr>
        <w:t>佛山市南海区妇幼保健院创建于1999年，是一所集保健、医疗、预防、科研、教学于一体的三级甲等妇幼保健院，医院为广州中医药大学附属南海妇产儿童医院；为国家级治未病试点单位、全国妇幼保健机构中医药工作示范单位。为广东省妇幼保健协会副主委单位、中国妇幼保健协会儿童康复专业委员会副主委单位、中国妇幼保健协会全生命周期保健专业委员会副主委单位等。</w:t>
      </w:r>
    </w:p>
    <w:p>
      <w:pPr>
        <w:spacing w:after="0" w:line="360" w:lineRule="auto"/>
        <w:ind w:firstLine="560" w:firstLineChars="200"/>
        <w:rPr>
          <w:rFonts w:hint="eastAsia" w:ascii="仿宋_GB2312" w:eastAsia="仿宋_GB2312"/>
          <w:sz w:val="28"/>
          <w:szCs w:val="28"/>
        </w:rPr>
      </w:pPr>
      <w:r>
        <w:rPr>
          <w:rFonts w:hint="eastAsia" w:ascii="仿宋_GB2312" w:eastAsia="仿宋_GB2312"/>
          <w:sz w:val="28"/>
          <w:szCs w:val="28"/>
        </w:rPr>
        <w:t>医院占地面积36亩，建筑面积4.7万平方米（新建儿童大楼建成后将达11万平方米）。现有员工836人，其中卫生专业技术人员数747人，高中级职称372人；教授22人，副教授28人；博士生导师2人，硕士生导师12人；国家优秀中青年专家1人，全国劳动模范、享受国家特殊津贴1人，广东省医学领军人才1名，广东省杰出青年医学人才2名，广东省名中医1人，南海区名医7人。</w:t>
      </w:r>
    </w:p>
    <w:p>
      <w:pPr>
        <w:spacing w:after="0" w:line="300" w:lineRule="auto"/>
        <w:ind w:firstLine="440" w:firstLineChars="200"/>
      </w:pPr>
      <w:r>
        <w:pict>
          <v:shape id="_x0000_s1028" o:spid="_x0000_s1028" o:spt="94" type="#_x0000_t94" style="position:absolute;left:0pt;margin-left:189pt;margin-top:71.25pt;height:26.25pt;width:50.25pt;z-index:251658240;mso-width-relative:page;mso-height-relative:page;" fillcolor="#FFC000" filled="t" coordsize="21600,21600">
            <v:path/>
            <v:fill on="t" focussize="0,0"/>
            <v:stroke joinstyle="miter"/>
            <v:imagedata o:title=""/>
            <o:lock v:ext="edit"/>
          </v:shape>
        </w:pict>
      </w:r>
      <w:r>
        <w:drawing>
          <wp:inline distT="0" distB="0" distL="0" distR="0">
            <wp:extent cx="2057400" cy="1962150"/>
            <wp:effectExtent l="19050" t="0" r="0" b="0"/>
            <wp:docPr id="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pic:cNvPicPr>
                      <a:picLocks noChangeAspect="1" noChangeArrowheads="1"/>
                    </pic:cNvPicPr>
                  </pic:nvPicPr>
                  <pic:blipFill>
                    <a:blip r:embed="rId5" cstate="print"/>
                    <a:srcRect/>
                    <a:stretch>
                      <a:fillRect/>
                    </a:stretch>
                  </pic:blipFill>
                  <pic:spPr>
                    <a:xfrm>
                      <a:off x="0" y="0"/>
                      <a:ext cx="2057400" cy="1962150"/>
                    </a:xfrm>
                    <a:prstGeom prst="rect">
                      <a:avLst/>
                    </a:prstGeom>
                    <a:noFill/>
                    <a:ln w="9525" cmpd="sng">
                      <a:noFill/>
                      <a:miter lim="800000"/>
                      <a:headEnd/>
                      <a:tailEnd/>
                    </a:ln>
                    <a:effectLst/>
                  </pic:spPr>
                </pic:pic>
              </a:graphicData>
            </a:graphic>
          </wp:inline>
        </w:drawing>
      </w:r>
      <w:r>
        <w:rPr>
          <w:rFonts w:hint="eastAsia"/>
        </w:rPr>
        <w:t xml:space="preserve">                  </w:t>
      </w:r>
      <w:r>
        <w:drawing>
          <wp:inline distT="0" distB="0" distL="114300" distR="114300">
            <wp:extent cx="1973580" cy="1991995"/>
            <wp:effectExtent l="0" t="0" r="7620" b="825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1973580" cy="1991995"/>
                    </a:xfrm>
                    <a:prstGeom prst="rect">
                      <a:avLst/>
                    </a:prstGeom>
                    <a:noFill/>
                    <a:ln>
                      <a:noFill/>
                    </a:ln>
                  </pic:spPr>
                </pic:pic>
              </a:graphicData>
            </a:graphic>
          </wp:inline>
        </w:drawing>
      </w:r>
    </w:p>
    <w:p>
      <w:pPr>
        <w:spacing w:after="0" w:line="300" w:lineRule="auto"/>
        <w:ind w:firstLine="440" w:firstLineChars="200"/>
        <w:rPr>
          <w:rFonts w:hint="eastAsia" w:ascii="宋体" w:hAnsi="宋体" w:cs="宋体"/>
        </w:rPr>
      </w:pPr>
      <w:r>
        <w:rPr>
          <w:rFonts w:hint="eastAsia"/>
        </w:rPr>
        <w:t xml:space="preserve">                  </w:t>
      </w:r>
      <w:r>
        <w:rPr>
          <w:rFonts w:hint="eastAsia" w:ascii="仿宋_GB2312" w:eastAsia="仿宋_GB2312"/>
          <w:sz w:val="28"/>
          <w:szCs w:val="28"/>
        </w:rPr>
        <w:t xml:space="preserve">现在    </w:t>
      </w:r>
      <w:r>
        <w:rPr>
          <w:rFonts w:hint="eastAsia"/>
        </w:rPr>
        <w:t xml:space="preserve">                                                    </w:t>
      </w:r>
      <w:r>
        <w:rPr>
          <w:rFonts w:hint="eastAsia" w:ascii="仿宋_GB2312" w:eastAsia="仿宋_GB2312"/>
          <w:sz w:val="28"/>
          <w:szCs w:val="28"/>
        </w:rPr>
        <w:t xml:space="preserve">  未来</w:t>
      </w:r>
    </w:p>
    <w:p>
      <w:pPr>
        <w:spacing w:after="0" w:line="360" w:lineRule="auto"/>
        <w:ind w:firstLine="560" w:firstLineChars="200"/>
        <w:rPr>
          <w:rFonts w:hint="eastAsia" w:ascii="仿宋_GB2312" w:eastAsia="仿宋_GB2312"/>
          <w:color w:val="000000"/>
          <w:sz w:val="28"/>
          <w:szCs w:val="28"/>
        </w:rPr>
      </w:pPr>
      <w:r>
        <w:rPr>
          <w:rFonts w:hint="eastAsia" w:ascii="仿宋_GB2312" w:eastAsia="仿宋_GB2312"/>
          <w:sz w:val="28"/>
          <w:szCs w:val="28"/>
        </w:rPr>
        <w:t>医院开放住院床位500张。技术力量雄厚，2018年门诊量</w:t>
      </w:r>
      <w:r>
        <w:rPr>
          <w:rFonts w:hint="eastAsia" w:ascii="仿宋_GB2312" w:eastAsia="仿宋_GB2312"/>
          <w:color w:val="000000"/>
          <w:sz w:val="28"/>
          <w:szCs w:val="28"/>
        </w:rPr>
        <w:t>112</w:t>
      </w:r>
      <w:r>
        <w:rPr>
          <w:rFonts w:hint="eastAsia" w:ascii="仿宋_GB2312" w:eastAsia="仿宋_GB2312"/>
          <w:sz w:val="28"/>
          <w:szCs w:val="28"/>
        </w:rPr>
        <w:t>万人次，住院病人</w:t>
      </w:r>
      <w:r>
        <w:rPr>
          <w:rFonts w:hint="eastAsia" w:ascii="仿宋_GB2312" w:eastAsia="仿宋_GB2312"/>
          <w:color w:val="000000"/>
          <w:sz w:val="28"/>
          <w:szCs w:val="28"/>
        </w:rPr>
        <w:t>2.5</w:t>
      </w:r>
      <w:r>
        <w:rPr>
          <w:rFonts w:hint="eastAsia" w:ascii="仿宋_GB2312" w:eastAsia="仿宋_GB2312"/>
          <w:sz w:val="28"/>
          <w:szCs w:val="28"/>
        </w:rPr>
        <w:t>万人次，分娩量近9000人次，年均接纳全国各地进修、实习人员上百人。国家卫生和计划生育委员会</w:t>
      </w:r>
      <w:r>
        <w:rPr>
          <w:rFonts w:hint="eastAsia" w:ascii="仿宋_GB2312" w:eastAsia="仿宋_GB2312"/>
          <w:color w:val="000000"/>
          <w:sz w:val="28"/>
          <w:szCs w:val="28"/>
        </w:rPr>
        <w:t>副主任王国强先后5次到医院考察调研，充分</w:t>
      </w:r>
      <w:r>
        <w:rPr>
          <w:rFonts w:hint="eastAsia" w:ascii="仿宋_GB2312" w:eastAsia="仿宋_GB2312"/>
          <w:sz w:val="28"/>
          <w:szCs w:val="28"/>
        </w:rPr>
        <w:t>肯定了南海区妇幼保健院</w:t>
      </w:r>
      <w:r>
        <w:rPr>
          <w:rFonts w:hint="eastAsia" w:ascii="仿宋_GB2312" w:eastAsia="仿宋_GB2312"/>
          <w:color w:val="000000"/>
          <w:sz w:val="28"/>
          <w:szCs w:val="28"/>
        </w:rPr>
        <w:t>取得的成绩。医院已逐步树立了社群满意、同行认可、政府放心的品牌形象。</w:t>
      </w:r>
    </w:p>
    <w:p>
      <w:pPr>
        <w:spacing w:after="0" w:line="360" w:lineRule="auto"/>
        <w:ind w:firstLine="562" w:firstLineChars="200"/>
        <w:rPr>
          <w:rFonts w:hint="eastAsia" w:ascii="仿宋_GB2312" w:eastAsia="仿宋_GB2312"/>
          <w:b/>
          <w:bCs/>
          <w:color w:val="000000"/>
          <w:sz w:val="28"/>
          <w:szCs w:val="28"/>
        </w:rPr>
      </w:pPr>
      <w:r>
        <w:rPr>
          <w:rFonts w:hint="eastAsia" w:ascii="仿宋_GB2312" w:eastAsia="仿宋_GB2312"/>
          <w:b/>
          <w:bCs/>
          <w:color w:val="FF0000"/>
          <w:sz w:val="28"/>
          <w:szCs w:val="28"/>
        </w:rPr>
        <w:t>二</w:t>
      </w:r>
      <w:r>
        <w:rPr>
          <w:rFonts w:hint="eastAsia" w:ascii="仿宋_GB2312" w:eastAsia="仿宋_GB2312"/>
          <w:b/>
          <w:bCs/>
          <w:color w:val="000000"/>
          <w:sz w:val="28"/>
          <w:szCs w:val="28"/>
        </w:rPr>
        <w:t>、专业基地介绍</w:t>
      </w:r>
    </w:p>
    <w:p>
      <w:pPr>
        <w:spacing w:after="0" w:line="360" w:lineRule="auto"/>
        <w:ind w:firstLine="560" w:firstLineChars="200"/>
        <w:rPr>
          <w:rStyle w:val="13"/>
          <w:rFonts w:hint="eastAsia"/>
          <w:color w:val="000000"/>
        </w:rPr>
      </w:pPr>
      <w:r>
        <w:rPr>
          <w:rFonts w:hint="eastAsia" w:ascii="仿宋_GB2312" w:eastAsia="仿宋_GB2312"/>
          <w:color w:val="000000"/>
          <w:sz w:val="28"/>
          <w:szCs w:val="28"/>
        </w:rPr>
        <w:t>经国家、省卫健委评审，我院2016年成为广东省妇幼保健院住院医师规范化培训协同基地，具有丰富的住院医师规范化培训经验。其中儿科基地开放床位268张，协同专业疾病97种，符合要求的指导教师67人；妇产科基地开放床位167张，协同专业疾病34种，符合要求的指导教师39人；临床技能培训中心有较完备的教学培训设施</w:t>
      </w:r>
      <w:r>
        <w:rPr>
          <w:rStyle w:val="13"/>
          <w:rFonts w:hint="eastAsia"/>
          <w:color w:val="000000"/>
        </w:rPr>
        <w:t>。按照上级精神，现开始住院医师规范化培训2019年度招生工作。</w:t>
      </w:r>
    </w:p>
    <w:p>
      <w:pPr>
        <w:spacing w:after="0" w:line="360" w:lineRule="auto"/>
        <w:ind w:firstLine="562" w:firstLineChars="200"/>
        <w:rPr>
          <w:rStyle w:val="13"/>
          <w:rFonts w:hint="eastAsia"/>
          <w:b/>
          <w:color w:val="000000"/>
        </w:rPr>
      </w:pPr>
      <w:r>
        <w:rPr>
          <w:rStyle w:val="13"/>
          <w:rFonts w:hint="eastAsia"/>
          <w:b/>
          <w:color w:val="000000"/>
        </w:rPr>
        <w:t>儿科基地</w:t>
      </w:r>
    </w:p>
    <w:p>
      <w:pPr>
        <w:spacing w:after="0" w:line="360" w:lineRule="auto"/>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儿内科开放有佛山市最大的住院病区，开放床位近140张，门急诊量居佛山市各大医院前列。现有医护人员79人，其中硕士研究生导师1人，高级职称11名，中级职称17名，硕士研究生3人。设立重症监护区（PICU）、呼吸区、消化区、隔离区，按病种分区收治。建立了呼吸、消化、危重症抢救、肾病、免疫性疾病学组，先进的现代化硬件投入与训练有素的医护人员是小儿危重病生命支持的有力保障。</w:t>
      </w:r>
    </w:p>
    <w:p>
      <w:pPr>
        <w:spacing w:after="0" w:line="360" w:lineRule="auto"/>
        <w:ind w:firstLine="560" w:firstLineChars="200"/>
        <w:rPr>
          <w:rFonts w:hint="eastAsia" w:ascii="仿宋_GB2312" w:hAnsi="仿宋_GB2312" w:eastAsia="仿宋_GB2312"/>
          <w:sz w:val="28"/>
        </w:rPr>
      </w:pPr>
      <w:r>
        <w:rPr>
          <w:rFonts w:hint="eastAsia" w:ascii="仿宋_GB2312" w:hAnsi="仿宋_GB2312" w:eastAsia="仿宋_GB2312"/>
          <w:sz w:val="28"/>
        </w:rPr>
        <w:t>新生儿科是</w:t>
      </w:r>
      <w:r>
        <w:rPr>
          <w:rFonts w:hint="eastAsia" w:ascii="仿宋_GB2312" w:eastAsia="仿宋_GB2312"/>
          <w:sz w:val="28"/>
          <w:szCs w:val="28"/>
        </w:rPr>
        <w:t>佛山市“十三五”特色专科、南海区“十三五”重点专科、</w:t>
      </w:r>
      <w:r>
        <w:rPr>
          <w:rFonts w:hint="eastAsia" w:ascii="仿宋_GB2312" w:hAnsi="仿宋_GB2312" w:eastAsia="仿宋_GB2312"/>
          <w:sz w:val="28"/>
        </w:rPr>
        <w:t>为南海区危重新生儿救治中心，是广东省危重新生儿护理抢救中心南海分中心。现有医护人员53人，正高职称1人，副高职称5人，抢救设备先进、齐全，技术力量雄厚。承担着南海区急、危重新生儿转运工作，每年接收二级医院危重症转运患儿200多例，成功救治的出生体重最小的新生儿为740克，胎龄26+周，预后非常良好。率先在国内开展中西医结合治疗，运用新生儿捏脊、点穴、传统音乐疗法等，健运脾胃、促进胃肠道蠕动，提高胃肠道激素水平，增强免疫功能。现有技术特色：1、早产、极低和超低体重儿的救治与管理；2、外周动静脉同步换血术；3、全胃肠外营养；4、危重新生儿的转运；5、呼吸功能支持；6、多项生理功能无创监测；7、早产儿视网膜病筛查；8、新生儿遗传代谢性疾病筛查；9、听力筛查；10、新生儿脑病的亚低温治疗；11、脑功能监测；12、新生儿外科等。</w:t>
      </w:r>
    </w:p>
    <w:p>
      <w:pPr>
        <w:spacing w:after="0" w:line="360" w:lineRule="auto"/>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小儿神经康复科为广东省中医特色专科，佛山市“十三五”高水平医学重点专科、佛山市“十三五”医学专科技术指导中心、佛山市南海区“十三五”高水平医学重点专科，是广东省中医特色护理优秀科室，广东唯一一家儿童音乐治疗示范基地。目前开设2个病区、1个康复治疗区。下设儿童康复、脑损伤早期干预、康复评定、癫痫诊疗等多个专科；拥有现代康复、传统中医药康复、家庭康复、教育心理康复、护理康复、物理因子治疗等6个治疗部。科室人才队伍合理，拥有教授、副教授4人，博士生导师1人，硕士生导师1人，医师队伍中高级职称10人，中级职称3人。护理人员27人，技师57人，专业涉及儿童神经、儿童心理、儿童康复、针灸推拿、中医儿科、康复护理、幼儿教育等多个学科。在硬件、软件设施及规模上在国内均属一流水平，系广东省最大的、知名度较高的神经康复中心之一。</w:t>
      </w:r>
    </w:p>
    <w:p>
      <w:pPr>
        <w:spacing w:line="300" w:lineRule="auto"/>
        <w:ind w:firstLine="440" w:firstLineChars="200"/>
        <w:rPr>
          <w:rFonts w:hint="eastAsia" w:ascii="宋体" w:hAnsi="宋体" w:cs="宋体"/>
          <w:color w:val="000000"/>
          <w:sz w:val="24"/>
          <w:szCs w:val="24"/>
        </w:rPr>
      </w:pPr>
      <w:r>
        <w:rPr>
          <w:color w:val="000000"/>
        </w:rPr>
        <w:drawing>
          <wp:inline distT="0" distB="0" distL="0" distR="0">
            <wp:extent cx="3810000" cy="2085975"/>
            <wp:effectExtent l="19050" t="0" r="0" b="0"/>
            <wp:docPr id="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
                    <pic:cNvPicPr>
                      <a:picLocks noChangeAspect="1" noChangeArrowheads="1"/>
                    </pic:cNvPicPr>
                  </pic:nvPicPr>
                  <pic:blipFill>
                    <a:blip r:embed="rId7"/>
                    <a:srcRect/>
                    <a:stretch>
                      <a:fillRect/>
                    </a:stretch>
                  </pic:blipFill>
                  <pic:spPr>
                    <a:xfrm>
                      <a:off x="0" y="0"/>
                      <a:ext cx="3810000" cy="2085975"/>
                    </a:xfrm>
                    <a:prstGeom prst="rect">
                      <a:avLst/>
                    </a:prstGeom>
                    <a:noFill/>
                    <a:ln w="9525" cmpd="sng">
                      <a:noFill/>
                      <a:miter lim="800000"/>
                      <a:headEnd/>
                      <a:tailEnd/>
                    </a:ln>
                  </pic:spPr>
                </pic:pic>
              </a:graphicData>
            </a:graphic>
          </wp:inline>
        </w:drawing>
      </w:r>
    </w:p>
    <w:p>
      <w:pPr>
        <w:spacing w:after="0" w:line="360" w:lineRule="auto"/>
        <w:ind w:firstLine="560" w:firstLineChars="200"/>
        <w:rPr>
          <w:rFonts w:ascii="仿宋_GB2312" w:hAnsi="仿宋_GB2312" w:eastAsia="仿宋_GB2312"/>
          <w:sz w:val="28"/>
        </w:rPr>
      </w:pPr>
    </w:p>
    <w:p>
      <w:pPr>
        <w:spacing w:after="0" w:line="360" w:lineRule="auto"/>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 xml:space="preserve">儿童保健科是广东省儿童早期发展示范基地，中国优生优育委员会早产儿、高危儿早期干预基地，是开展儿童早期综合发展教育的专业机构，肩负着保护和促进全区儿童健康的技术指导重任。并将祖国医学与现代儿童保健相结合，形成了具有特色的中西医结合儿童保健体系，全面促进婴幼儿身体健康、运动、语言沟通、空间视查、自然认知、人际沟通、自然认知等多元智能发展。科室配备中西医儿童保健医生、幼师、特教、心理评估、神经心理、中医推拿等专业性强的技术工作人员15人，其中博士生1名，硕士研究生2人，大学本科生8人；拥有先进、全面的儿童早期综合发展咨询指导系统，对每一位就诊儿童可进行全面、系统的健康管理，拥有进口感觉统合训练器、奥尔夫音乐、蒙特梭利教具，及多感官功能训练室。 </w:t>
      </w:r>
    </w:p>
    <w:p>
      <w:pPr>
        <w:spacing w:after="0" w:line="360" w:lineRule="auto"/>
        <w:ind w:firstLine="562" w:firstLineChars="200"/>
        <w:rPr>
          <w:rFonts w:hint="eastAsia" w:ascii="仿宋_GB2312" w:eastAsia="仿宋_GB2312"/>
          <w:b/>
          <w:color w:val="000000"/>
          <w:sz w:val="28"/>
          <w:szCs w:val="28"/>
        </w:rPr>
      </w:pPr>
      <w:r>
        <w:rPr>
          <w:rFonts w:hint="eastAsia" w:ascii="仿宋_GB2312" w:eastAsia="仿宋_GB2312"/>
          <w:b/>
          <w:color w:val="000000"/>
          <w:sz w:val="28"/>
          <w:szCs w:val="28"/>
        </w:rPr>
        <w:t>妇产科基地</w:t>
      </w:r>
    </w:p>
    <w:p>
      <w:pPr>
        <w:spacing w:after="0" w:line="360" w:lineRule="auto"/>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产科是南海区三级助产服务机构，佛山市“十三五”特色专科、南海区“十三五”高水平医学重点专科、南海区产科质量控制中心、南海区危重孕产妇救治中心，是南海区唯一一家产前诊断机构，担负着南海区孕产妇保健、疑难、急危重症的救治任务，指导基层医院医疗保健工作。产科开展了规范的围产保健及高危妊娠的管理与监护，妊娠合并症与并发症的诊治与管理规范，成功救治产后大出血、DIC、羊水栓塞、子痫、心衰等危重病人，担负着南海区危重孕产妇的转运、会诊与救治工作。产科现有医护人员148人，产科医生31人，其中主任医师3人，副主任医师8人，硕士研究生导师2人。护理人员82人，助产士45人。产科年门诊就诊人次达11万人次，分娩量居南海区15家公立医院之首。</w:t>
      </w:r>
    </w:p>
    <w:p>
      <w:pPr>
        <w:spacing w:after="0" w:line="300" w:lineRule="auto"/>
        <w:ind w:firstLine="440" w:firstLineChars="200"/>
        <w:rPr>
          <w:color w:val="000000"/>
        </w:rPr>
      </w:pPr>
      <w:r>
        <w:rPr>
          <w:color w:val="000000"/>
        </w:rPr>
        <w:drawing>
          <wp:inline distT="0" distB="0" distL="0" distR="0">
            <wp:extent cx="3914775" cy="2162175"/>
            <wp:effectExtent l="19050" t="0" r="9525" b="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noChangeArrowheads="1"/>
                    </pic:cNvPicPr>
                  </pic:nvPicPr>
                  <pic:blipFill>
                    <a:blip r:embed="rId8"/>
                    <a:srcRect/>
                    <a:stretch>
                      <a:fillRect/>
                    </a:stretch>
                  </pic:blipFill>
                  <pic:spPr>
                    <a:xfrm>
                      <a:off x="0" y="0"/>
                      <a:ext cx="3914775" cy="2162175"/>
                    </a:xfrm>
                    <a:prstGeom prst="rect">
                      <a:avLst/>
                    </a:prstGeom>
                    <a:noFill/>
                    <a:ln w="9525" cmpd="sng">
                      <a:noFill/>
                      <a:miter lim="800000"/>
                      <a:headEnd/>
                      <a:tailEnd/>
                    </a:ln>
                  </pic:spPr>
                </pic:pic>
              </a:graphicData>
            </a:graphic>
          </wp:inline>
        </w:drawing>
      </w:r>
    </w:p>
    <w:p>
      <w:pPr>
        <w:spacing w:after="0" w:line="360" w:lineRule="auto"/>
        <w:ind w:firstLine="440" w:firstLineChars="200"/>
        <w:rPr>
          <w:rFonts w:hint="eastAsia" w:ascii="仿宋_GB2312" w:eastAsia="仿宋_GB2312"/>
          <w:color w:val="000000"/>
          <w:sz w:val="28"/>
          <w:szCs w:val="28"/>
        </w:rPr>
      </w:pPr>
      <w:r>
        <w:rPr>
          <w:rFonts w:hint="eastAsia"/>
          <w:color w:val="000000"/>
        </w:rPr>
        <w:t xml:space="preserve">                              </w:t>
      </w:r>
      <w:r>
        <w:rPr>
          <w:rFonts w:hint="eastAsia" w:ascii="仿宋_GB2312" w:eastAsia="仿宋_GB2312"/>
          <w:color w:val="000000"/>
          <w:sz w:val="28"/>
          <w:szCs w:val="28"/>
        </w:rPr>
        <w:t>成立产前控制中心</w:t>
      </w:r>
    </w:p>
    <w:p>
      <w:pPr>
        <w:spacing w:after="0" w:line="360" w:lineRule="auto"/>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妇科是南海区“十三五”高水平重点专科，拥有1个病区、1个门诊病区，有专家团队10余人，其中主任医师2名，副主任医师11名，副教授1名，硕士研究生导师1名，拥有7名硕士，带教研究生13人，实习生40余人，进修生10余人。2018年门诊量每日500余人次，住院量2892人。拥有先进的诊疗设备，如德国腹腔镜、宫腔镜手术系统、全程超导可视人流系统、数码胎儿远程监护网络系统、电子阴道镜、LEEP环切电刀、波姆光疗仪等大型设备。率先在佛山市开展妇科疾病微创技术，腹腔镜下全宫切除、卵巢囊肿切除、输卵管复通、宫外孕等手术处于佛山地区领先地位，开展腹腔镜下广泛全子宫切除+盆腔淋巴结术手术。</w:t>
      </w:r>
    </w:p>
    <w:p>
      <w:pPr>
        <w:spacing w:after="0" w:line="360" w:lineRule="auto"/>
        <w:ind w:firstLine="560" w:firstLineChars="200"/>
        <w:rPr>
          <w:rFonts w:hint="eastAsia" w:ascii="仿宋_GB2312" w:eastAsia="仿宋_GB2312"/>
          <w:color w:val="000000"/>
          <w:sz w:val="28"/>
          <w:szCs w:val="28"/>
        </w:rPr>
      </w:pPr>
      <w:r>
        <w:rPr>
          <w:rStyle w:val="13"/>
          <w:rFonts w:hint="eastAsia"/>
          <w:color w:val="000000"/>
        </w:rPr>
        <w:t>按照上级精神，现开始住院医师规范化培训2019年度招生工作，报名者经考试择优录取，培训期间医院将提供良好的培训条件，经考核合格者颁发住院医师</w:t>
      </w:r>
      <w:r>
        <w:rPr>
          <w:rFonts w:hint="eastAsia" w:ascii="仿宋_GB2312" w:eastAsia="仿宋_GB2312"/>
          <w:color w:val="000000"/>
          <w:sz w:val="28"/>
          <w:szCs w:val="28"/>
        </w:rPr>
        <w:t>规范化培训合格证，培训结束后可择优留院工作。</w:t>
      </w:r>
    </w:p>
    <w:p>
      <w:pPr>
        <w:spacing w:after="0" w:line="360" w:lineRule="auto"/>
        <w:ind w:firstLine="562" w:firstLineChars="200"/>
        <w:jc w:val="both"/>
        <w:rPr>
          <w:rFonts w:ascii="仿宋_GB2312" w:hAnsi="仿宋_GB2312" w:eastAsia="仿宋_GB2312"/>
          <w:b/>
          <w:bCs/>
          <w:color w:val="000000"/>
          <w:sz w:val="28"/>
          <w:szCs w:val="28"/>
        </w:rPr>
      </w:pPr>
      <w:r>
        <w:rPr>
          <w:rFonts w:hint="eastAsia" w:ascii="仿宋_GB2312" w:hAnsi="仿宋_GB2312" w:eastAsia="仿宋_GB2312" w:cs="仿宋_GB2312"/>
          <w:b/>
          <w:bCs/>
          <w:color w:val="000000"/>
          <w:sz w:val="28"/>
          <w:szCs w:val="28"/>
        </w:rPr>
        <w:t>三、招生计划</w:t>
      </w:r>
    </w:p>
    <w:p>
      <w:pPr>
        <w:spacing w:after="0" w:line="360" w:lineRule="auto"/>
        <w:ind w:firstLine="560" w:firstLineChars="200"/>
        <w:jc w:val="both"/>
        <w:rPr>
          <w:rFonts w:ascii="仿宋_GB2312" w:hAnsi="仿宋_GB2312" w:eastAsia="仿宋_GB2312"/>
          <w:sz w:val="28"/>
          <w:szCs w:val="28"/>
        </w:rPr>
      </w:pPr>
      <w:r>
        <w:rPr>
          <w:rFonts w:hint="eastAsia" w:ascii="仿宋_GB2312" w:hAnsi="仿宋_GB2312" w:eastAsia="仿宋_GB2312" w:cs="仿宋_GB2312"/>
          <w:sz w:val="28"/>
          <w:szCs w:val="28"/>
        </w:rPr>
        <w:t>根据《住院医师规范化培训管理办法（试行）》精神要求，现面向社会招收妇产科、儿科两个专业的</w:t>
      </w:r>
      <w:r>
        <w:rPr>
          <w:rFonts w:ascii="仿宋_GB2312" w:hAnsi="仿宋_GB2312" w:eastAsia="仿宋_GB2312" w:cs="仿宋_GB2312"/>
          <w:sz w:val="28"/>
          <w:szCs w:val="28"/>
        </w:rPr>
        <w:t>20</w:t>
      </w:r>
      <w:r>
        <w:rPr>
          <w:rFonts w:hint="eastAsia" w:ascii="仿宋_GB2312" w:hAnsi="仿宋_GB2312" w:eastAsia="仿宋_GB2312" w:cs="仿宋_GB2312"/>
          <w:sz w:val="28"/>
          <w:szCs w:val="28"/>
        </w:rPr>
        <w:t>19年住院医师规范化培训学员。具体如下：</w:t>
      </w:r>
    </w:p>
    <w:tbl>
      <w:tblPr>
        <w:tblStyle w:val="6"/>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2551"/>
        <w:gridCol w:w="2268"/>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6" w:hRule="atLeast"/>
        </w:trPr>
        <w:tc>
          <w:tcPr>
            <w:tcW w:w="1668" w:type="dxa"/>
            <w:vAlign w:val="center"/>
          </w:tcPr>
          <w:p>
            <w:pPr>
              <w:spacing w:after="0" w:line="300" w:lineRule="auto"/>
              <w:ind w:firstLine="442" w:firstLineChars="200"/>
              <w:jc w:val="center"/>
              <w:rPr>
                <w:rFonts w:ascii="仿宋_GB2312" w:hAnsi="仿宋_GB2312" w:eastAsia="仿宋_GB2312"/>
                <w:b/>
                <w:bCs/>
              </w:rPr>
            </w:pPr>
            <w:r>
              <w:rPr>
                <w:rFonts w:hint="eastAsia" w:ascii="仿宋_GB2312" w:hAnsi="仿宋_GB2312" w:eastAsia="仿宋_GB2312" w:cs="仿宋_GB2312"/>
                <w:b/>
                <w:bCs/>
              </w:rPr>
              <w:t>专业代码</w:t>
            </w:r>
          </w:p>
        </w:tc>
        <w:tc>
          <w:tcPr>
            <w:tcW w:w="2551" w:type="dxa"/>
            <w:vAlign w:val="center"/>
          </w:tcPr>
          <w:p>
            <w:pPr>
              <w:spacing w:after="0" w:line="300" w:lineRule="auto"/>
              <w:ind w:firstLine="442" w:firstLineChars="200"/>
              <w:jc w:val="center"/>
              <w:rPr>
                <w:rFonts w:ascii="仿宋_GB2312" w:hAnsi="仿宋_GB2312" w:eastAsia="仿宋_GB2312"/>
                <w:b/>
                <w:bCs/>
              </w:rPr>
            </w:pPr>
            <w:r>
              <w:rPr>
                <w:rFonts w:hint="eastAsia" w:ascii="仿宋_GB2312" w:hAnsi="仿宋_GB2312" w:eastAsia="仿宋_GB2312" w:cs="仿宋_GB2312"/>
                <w:b/>
                <w:bCs/>
              </w:rPr>
              <w:t>专业基地名称</w:t>
            </w:r>
          </w:p>
        </w:tc>
        <w:tc>
          <w:tcPr>
            <w:tcW w:w="2268" w:type="dxa"/>
            <w:vAlign w:val="center"/>
          </w:tcPr>
          <w:p>
            <w:pPr>
              <w:spacing w:after="0" w:line="300" w:lineRule="auto"/>
              <w:ind w:firstLine="442" w:firstLineChars="200"/>
              <w:jc w:val="center"/>
              <w:rPr>
                <w:rFonts w:ascii="仿宋_GB2312" w:hAnsi="仿宋_GB2312" w:eastAsia="仿宋_GB2312"/>
                <w:b/>
                <w:bCs/>
              </w:rPr>
            </w:pPr>
            <w:r>
              <w:rPr>
                <w:rFonts w:ascii="仿宋_GB2312" w:hAnsi="仿宋_GB2312" w:eastAsia="仿宋_GB2312" w:cs="仿宋_GB2312"/>
                <w:b/>
                <w:bCs/>
              </w:rPr>
              <w:t>201</w:t>
            </w:r>
            <w:r>
              <w:rPr>
                <w:rFonts w:hint="eastAsia" w:ascii="仿宋_GB2312" w:hAnsi="仿宋_GB2312" w:eastAsia="仿宋_GB2312" w:cs="仿宋_GB2312"/>
                <w:b/>
                <w:bCs/>
              </w:rPr>
              <w:t>9年拟招生人数</w:t>
            </w:r>
          </w:p>
        </w:tc>
        <w:tc>
          <w:tcPr>
            <w:tcW w:w="2126" w:type="dxa"/>
            <w:vAlign w:val="center"/>
          </w:tcPr>
          <w:p>
            <w:pPr>
              <w:spacing w:after="0" w:line="300" w:lineRule="auto"/>
              <w:ind w:firstLine="442" w:firstLineChars="200"/>
              <w:jc w:val="center"/>
              <w:rPr>
                <w:rFonts w:ascii="仿宋_GB2312" w:hAnsi="仿宋_GB2312" w:eastAsia="仿宋_GB2312"/>
                <w:b/>
                <w:bCs/>
              </w:rPr>
            </w:pPr>
            <w:r>
              <w:rPr>
                <w:rFonts w:hint="eastAsia" w:ascii="仿宋_GB2312" w:hAnsi="仿宋_GB2312" w:eastAsia="仿宋_GB2312" w:cs="仿宋_GB2312"/>
                <w:b/>
                <w:bCs/>
              </w:rPr>
              <w:t>招生对象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6" w:hRule="atLeast"/>
        </w:trPr>
        <w:tc>
          <w:tcPr>
            <w:tcW w:w="1668" w:type="dxa"/>
            <w:vAlign w:val="center"/>
          </w:tcPr>
          <w:p>
            <w:pPr>
              <w:spacing w:after="0" w:line="300" w:lineRule="auto"/>
              <w:ind w:firstLine="440" w:firstLineChars="200"/>
              <w:jc w:val="center"/>
              <w:rPr>
                <w:rFonts w:ascii="仿宋_GB2312" w:hAnsi="仿宋_GB2312" w:eastAsia="仿宋_GB2312"/>
              </w:rPr>
            </w:pPr>
            <w:r>
              <w:rPr>
                <w:rFonts w:hint="eastAsia" w:ascii="仿宋_GB2312" w:hAnsi="仿宋_GB2312" w:eastAsia="仿宋_GB2312" w:cs="仿宋_GB2312"/>
              </w:rPr>
              <w:t>合计</w:t>
            </w:r>
          </w:p>
        </w:tc>
        <w:tc>
          <w:tcPr>
            <w:tcW w:w="2551" w:type="dxa"/>
            <w:vAlign w:val="center"/>
          </w:tcPr>
          <w:p>
            <w:pPr>
              <w:spacing w:after="0" w:line="300" w:lineRule="auto"/>
              <w:ind w:firstLine="440" w:firstLineChars="200"/>
              <w:jc w:val="center"/>
              <w:rPr>
                <w:rFonts w:ascii="仿宋_GB2312" w:hAnsi="仿宋_GB2312" w:eastAsia="仿宋_GB2312"/>
              </w:rPr>
            </w:pPr>
          </w:p>
        </w:tc>
        <w:tc>
          <w:tcPr>
            <w:tcW w:w="2268" w:type="dxa"/>
            <w:vAlign w:val="center"/>
          </w:tcPr>
          <w:p>
            <w:pPr>
              <w:spacing w:after="0" w:line="300" w:lineRule="auto"/>
              <w:ind w:firstLine="440" w:firstLineChars="200"/>
              <w:jc w:val="center"/>
              <w:rPr>
                <w:rFonts w:hint="eastAsia" w:ascii="仿宋_GB2312" w:hAnsi="仿宋_GB2312" w:eastAsia="仿宋_GB2312" w:cs="仿宋_GB2312"/>
                <w:color w:val="000000"/>
              </w:rPr>
            </w:pPr>
            <w:r>
              <w:rPr>
                <w:rFonts w:hint="eastAsia" w:ascii="仿宋_GB2312" w:hAnsi="仿宋_GB2312" w:eastAsia="仿宋_GB2312" w:cs="仿宋_GB2312"/>
                <w:color w:val="000000"/>
              </w:rPr>
              <w:t>12</w:t>
            </w:r>
          </w:p>
        </w:tc>
        <w:tc>
          <w:tcPr>
            <w:tcW w:w="2126" w:type="dxa"/>
            <w:vAlign w:val="center"/>
          </w:tcPr>
          <w:p>
            <w:pPr>
              <w:spacing w:after="0" w:line="300" w:lineRule="auto"/>
              <w:ind w:firstLine="440" w:firstLineChars="200"/>
              <w:jc w:val="center"/>
              <w:rPr>
                <w:rFonts w:ascii="仿宋_GB2312" w:hAns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trPr>
        <w:tc>
          <w:tcPr>
            <w:tcW w:w="1668" w:type="dxa"/>
            <w:vAlign w:val="center"/>
          </w:tcPr>
          <w:p>
            <w:pPr>
              <w:spacing w:after="0" w:line="300" w:lineRule="auto"/>
              <w:ind w:firstLine="440" w:firstLineChars="200"/>
              <w:jc w:val="center"/>
              <w:rPr>
                <w:rFonts w:ascii="仿宋_GB2312" w:hAnsi="仿宋_GB2312" w:eastAsia="仿宋_GB2312" w:cs="仿宋_GB2312"/>
              </w:rPr>
            </w:pPr>
            <w:r>
              <w:rPr>
                <w:rFonts w:ascii="仿宋_GB2312" w:hAnsi="仿宋_GB2312" w:eastAsia="仿宋_GB2312" w:cs="仿宋_GB2312"/>
              </w:rPr>
              <w:t>0200</w:t>
            </w:r>
          </w:p>
        </w:tc>
        <w:tc>
          <w:tcPr>
            <w:tcW w:w="2551" w:type="dxa"/>
            <w:vAlign w:val="center"/>
          </w:tcPr>
          <w:p>
            <w:pPr>
              <w:spacing w:after="0" w:line="300" w:lineRule="auto"/>
              <w:ind w:firstLine="440" w:firstLineChars="200"/>
              <w:jc w:val="center"/>
              <w:rPr>
                <w:rFonts w:ascii="仿宋_GB2312" w:hAnsi="仿宋_GB2312" w:eastAsia="仿宋_GB2312"/>
              </w:rPr>
            </w:pPr>
            <w:r>
              <w:rPr>
                <w:rFonts w:hint="eastAsia" w:ascii="仿宋_GB2312" w:hAnsi="仿宋_GB2312" w:eastAsia="仿宋_GB2312" w:cs="仿宋_GB2312"/>
              </w:rPr>
              <w:t>儿科</w:t>
            </w:r>
          </w:p>
        </w:tc>
        <w:tc>
          <w:tcPr>
            <w:tcW w:w="2268" w:type="dxa"/>
            <w:vAlign w:val="center"/>
          </w:tcPr>
          <w:p>
            <w:pPr>
              <w:spacing w:after="0" w:line="300" w:lineRule="auto"/>
              <w:ind w:firstLine="440" w:firstLineChars="200"/>
              <w:jc w:val="center"/>
              <w:rPr>
                <w:rFonts w:hint="eastAsia" w:ascii="仿宋_GB2312" w:hAnsi="仿宋_GB2312" w:eastAsia="仿宋_GB2312" w:cs="仿宋_GB2312"/>
                <w:color w:val="000000"/>
              </w:rPr>
            </w:pPr>
            <w:r>
              <w:rPr>
                <w:rFonts w:hint="eastAsia" w:ascii="仿宋_GB2312" w:hAnsi="仿宋_GB2312" w:eastAsia="仿宋_GB2312" w:cs="仿宋_GB2312"/>
                <w:color w:val="000000"/>
              </w:rPr>
              <w:t>6</w:t>
            </w:r>
          </w:p>
        </w:tc>
        <w:tc>
          <w:tcPr>
            <w:tcW w:w="2126" w:type="dxa"/>
            <w:vAlign w:val="center"/>
          </w:tcPr>
          <w:p>
            <w:pPr>
              <w:spacing w:after="0" w:line="300" w:lineRule="auto"/>
              <w:ind w:firstLine="440" w:firstLineChars="200"/>
              <w:jc w:val="center"/>
              <w:rPr>
                <w:rFonts w:ascii="仿宋_GB2312" w:hAnsi="仿宋_GB2312" w:eastAsia="仿宋_GB2312"/>
              </w:rPr>
            </w:pPr>
            <w:r>
              <w:rPr>
                <w:rFonts w:hint="eastAsia" w:ascii="仿宋_GB2312" w:hAnsi="仿宋_GB2312" w:eastAsia="仿宋_GB2312" w:cs="仿宋_GB2312"/>
              </w:rPr>
              <w:t>应届本科及以上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6" w:hRule="atLeast"/>
        </w:trPr>
        <w:tc>
          <w:tcPr>
            <w:tcW w:w="1668" w:type="dxa"/>
            <w:vAlign w:val="center"/>
          </w:tcPr>
          <w:p>
            <w:pPr>
              <w:spacing w:after="0" w:line="300" w:lineRule="auto"/>
              <w:ind w:firstLine="440" w:firstLineChars="200"/>
              <w:jc w:val="center"/>
              <w:rPr>
                <w:rFonts w:ascii="仿宋_GB2312" w:hAnsi="仿宋_GB2312" w:eastAsia="仿宋_GB2312" w:cs="仿宋_GB2312"/>
              </w:rPr>
            </w:pPr>
            <w:r>
              <w:rPr>
                <w:rFonts w:ascii="仿宋_GB2312" w:hAnsi="仿宋_GB2312" w:eastAsia="仿宋_GB2312" w:cs="仿宋_GB2312"/>
              </w:rPr>
              <w:t>1600</w:t>
            </w:r>
          </w:p>
        </w:tc>
        <w:tc>
          <w:tcPr>
            <w:tcW w:w="2551" w:type="dxa"/>
            <w:vAlign w:val="center"/>
          </w:tcPr>
          <w:p>
            <w:pPr>
              <w:spacing w:after="0" w:line="300" w:lineRule="auto"/>
              <w:ind w:firstLine="440" w:firstLineChars="200"/>
              <w:jc w:val="center"/>
              <w:rPr>
                <w:rFonts w:ascii="仿宋_GB2312" w:hAnsi="仿宋_GB2312" w:eastAsia="仿宋_GB2312"/>
              </w:rPr>
            </w:pPr>
            <w:r>
              <w:rPr>
                <w:rFonts w:hint="eastAsia" w:ascii="仿宋_GB2312" w:hAnsi="仿宋_GB2312" w:eastAsia="仿宋_GB2312" w:cs="仿宋_GB2312"/>
              </w:rPr>
              <w:t>妇产科</w:t>
            </w:r>
          </w:p>
        </w:tc>
        <w:tc>
          <w:tcPr>
            <w:tcW w:w="2268" w:type="dxa"/>
            <w:vAlign w:val="center"/>
          </w:tcPr>
          <w:p>
            <w:pPr>
              <w:spacing w:after="0" w:line="300" w:lineRule="auto"/>
              <w:ind w:firstLine="440" w:firstLineChars="200"/>
              <w:jc w:val="center"/>
              <w:rPr>
                <w:rFonts w:hint="eastAsia" w:ascii="仿宋_GB2312" w:hAnsi="仿宋_GB2312" w:eastAsia="仿宋_GB2312" w:cs="仿宋_GB2312"/>
                <w:color w:val="000000"/>
              </w:rPr>
            </w:pPr>
            <w:r>
              <w:rPr>
                <w:rFonts w:hint="eastAsia" w:ascii="仿宋_GB2312" w:hAnsi="仿宋_GB2312" w:eastAsia="仿宋_GB2312" w:cs="仿宋_GB2312"/>
                <w:color w:val="000000"/>
              </w:rPr>
              <w:t>6</w:t>
            </w:r>
          </w:p>
        </w:tc>
        <w:tc>
          <w:tcPr>
            <w:tcW w:w="2126" w:type="dxa"/>
            <w:vAlign w:val="center"/>
          </w:tcPr>
          <w:p>
            <w:pPr>
              <w:spacing w:after="0" w:line="300" w:lineRule="auto"/>
              <w:ind w:firstLine="440" w:firstLineChars="200"/>
              <w:jc w:val="center"/>
              <w:rPr>
                <w:rFonts w:ascii="仿宋_GB2312" w:hAnsi="仿宋_GB2312" w:eastAsia="仿宋_GB2312"/>
              </w:rPr>
            </w:pPr>
            <w:r>
              <w:rPr>
                <w:rFonts w:hint="eastAsia" w:ascii="仿宋_GB2312" w:hAnsi="仿宋_GB2312" w:eastAsia="仿宋_GB2312" w:cs="仿宋_GB2312"/>
              </w:rPr>
              <w:t>应届本科及以上</w:t>
            </w:r>
          </w:p>
        </w:tc>
      </w:tr>
    </w:tbl>
    <w:p>
      <w:pPr>
        <w:spacing w:after="0" w:line="300" w:lineRule="auto"/>
        <w:ind w:firstLine="440" w:firstLineChars="200"/>
        <w:jc w:val="both"/>
        <w:rPr>
          <w:rFonts w:ascii="仿宋_GB2312" w:hAnsi="仿宋_GB2312" w:eastAsia="仿宋_GB2312"/>
        </w:rPr>
      </w:pPr>
    </w:p>
    <w:p>
      <w:pPr>
        <w:spacing w:after="0" w:line="300" w:lineRule="auto"/>
        <w:ind w:firstLine="562" w:firstLineChars="200"/>
        <w:jc w:val="both"/>
        <w:rPr>
          <w:rFonts w:ascii="仿宋_GB2312" w:hAnsi="仿宋_GB2312" w:eastAsia="仿宋_GB2312"/>
          <w:b/>
          <w:bCs/>
          <w:color w:val="000000"/>
          <w:sz w:val="28"/>
          <w:szCs w:val="28"/>
        </w:rPr>
      </w:pPr>
      <w:r>
        <w:rPr>
          <w:rFonts w:hint="eastAsia" w:ascii="仿宋_GB2312" w:hAnsi="仿宋_GB2312" w:eastAsia="仿宋_GB2312" w:cs="仿宋_GB2312"/>
          <w:b/>
          <w:bCs/>
          <w:color w:val="000000"/>
          <w:sz w:val="28"/>
          <w:szCs w:val="28"/>
        </w:rPr>
        <w:t>四、报名条件</w:t>
      </w:r>
    </w:p>
    <w:p>
      <w:pPr>
        <w:spacing w:after="0" w:line="300" w:lineRule="auto"/>
        <w:ind w:firstLine="560" w:firstLineChars="200"/>
        <w:rPr>
          <w:rStyle w:val="13"/>
          <w:rFonts w:hint="eastAsia"/>
        </w:rPr>
      </w:pPr>
      <w:r>
        <w:rPr>
          <w:rStyle w:val="13"/>
          <w:rFonts w:hint="eastAsia"/>
          <w:color w:val="000000"/>
        </w:rPr>
        <w:t>1、拟从事临床医疗工作</w:t>
      </w:r>
      <w:r>
        <w:rPr>
          <w:rStyle w:val="13"/>
          <w:rFonts w:hint="eastAsia"/>
        </w:rPr>
        <w:t>的高等院校医学类相应专业（指临床医学类）本科及以上学历毕业生；</w:t>
      </w:r>
    </w:p>
    <w:p>
      <w:pPr>
        <w:spacing w:after="0" w:line="300" w:lineRule="auto"/>
        <w:ind w:firstLine="560" w:firstLineChars="200"/>
        <w:rPr>
          <w:rStyle w:val="13"/>
          <w:rFonts w:hint="eastAsia"/>
          <w:color w:val="000000"/>
        </w:rPr>
      </w:pPr>
      <w:r>
        <w:rPr>
          <w:rStyle w:val="13"/>
          <w:rFonts w:hint="eastAsia"/>
        </w:rPr>
        <w:t>2</w:t>
      </w:r>
      <w:r>
        <w:rPr>
          <w:rStyle w:val="13"/>
          <w:rFonts w:hint="eastAsia"/>
          <w:color w:val="000000"/>
        </w:rPr>
        <w:t>、符合临床医师资格考试（西医）报名条件；</w:t>
      </w:r>
    </w:p>
    <w:p>
      <w:pPr>
        <w:spacing w:after="0" w:line="300" w:lineRule="auto"/>
        <w:ind w:firstLine="560" w:firstLineChars="200"/>
        <w:rPr>
          <w:rStyle w:val="13"/>
          <w:rFonts w:hint="eastAsia"/>
          <w:color w:val="000000"/>
        </w:rPr>
      </w:pPr>
      <w:r>
        <w:rPr>
          <w:rStyle w:val="13"/>
          <w:rFonts w:hint="eastAsia"/>
          <w:color w:val="000000"/>
        </w:rPr>
        <w:t>3、具有学历和学位证书，通过英语四级考试。</w:t>
      </w:r>
    </w:p>
    <w:p>
      <w:pPr>
        <w:pStyle w:val="15"/>
        <w:ind w:firstLine="562"/>
        <w:rPr>
          <w:b/>
          <w:bCs/>
          <w:color w:val="000000"/>
        </w:rPr>
      </w:pPr>
      <w:r>
        <w:rPr>
          <w:rFonts w:hint="eastAsia"/>
          <w:b/>
          <w:bCs/>
          <w:color w:val="000000"/>
        </w:rPr>
        <w:t>五、待遇</w:t>
      </w:r>
    </w:p>
    <w:p>
      <w:pPr>
        <w:spacing w:after="0" w:line="360" w:lineRule="auto"/>
        <w:ind w:firstLine="560" w:firstLineChars="200"/>
        <w:rPr>
          <w:rStyle w:val="13"/>
          <w:rFonts w:hint="eastAsia"/>
          <w:color w:val="000000"/>
        </w:rPr>
      </w:pPr>
      <w:r>
        <w:rPr>
          <w:rStyle w:val="13"/>
          <w:rFonts w:hint="eastAsia"/>
          <w:color w:val="000000"/>
        </w:rPr>
        <w:t>1、社会招收学员：不需缴纳培训费，工资待遇根据省卫健委《关于住院医师规范化培训的实施办法》（试行稿）要求发放。</w:t>
      </w:r>
    </w:p>
    <w:p>
      <w:pPr>
        <w:spacing w:after="0" w:line="360" w:lineRule="auto"/>
        <w:ind w:firstLine="560" w:firstLineChars="200"/>
        <w:rPr>
          <w:rStyle w:val="13"/>
          <w:rFonts w:hint="eastAsia"/>
          <w:color w:val="000000"/>
        </w:rPr>
      </w:pPr>
      <w:r>
        <w:rPr>
          <w:rStyle w:val="13"/>
          <w:rFonts w:hint="eastAsia"/>
          <w:color w:val="000000"/>
        </w:rPr>
        <w:t>2、规培期间免费安排住宿。</w:t>
      </w:r>
    </w:p>
    <w:p>
      <w:pPr>
        <w:spacing w:after="0" w:line="360" w:lineRule="auto"/>
        <w:ind w:firstLine="560" w:firstLineChars="200"/>
        <w:rPr>
          <w:rStyle w:val="13"/>
          <w:rFonts w:hint="eastAsia"/>
          <w:color w:val="000000"/>
        </w:rPr>
      </w:pPr>
      <w:r>
        <w:rPr>
          <w:rStyle w:val="13"/>
          <w:rFonts w:hint="eastAsia"/>
          <w:color w:val="000000"/>
        </w:rPr>
        <w:t>3、培训结束后可择优录取留院工作。</w:t>
      </w:r>
    </w:p>
    <w:p>
      <w:pPr>
        <w:pStyle w:val="15"/>
        <w:ind w:firstLine="562"/>
        <w:rPr>
          <w:rFonts w:hint="eastAsia"/>
          <w:color w:val="000000"/>
        </w:rPr>
      </w:pPr>
      <w:r>
        <w:rPr>
          <w:rFonts w:hint="eastAsia"/>
          <w:b/>
          <w:bCs/>
          <w:color w:val="000000"/>
        </w:rPr>
        <w:t>六、报名方式</w:t>
      </w:r>
    </w:p>
    <w:p>
      <w:pPr>
        <w:spacing w:after="240" w:line="360" w:lineRule="auto"/>
        <w:ind w:firstLine="560" w:firstLineChars="200"/>
        <w:rPr>
          <w:rStyle w:val="13"/>
          <w:rFonts w:hint="eastAsia"/>
        </w:rPr>
      </w:pPr>
      <w:r>
        <w:rPr>
          <w:rStyle w:val="13"/>
          <w:rFonts w:hint="eastAsia"/>
          <w:color w:val="000000"/>
        </w:rPr>
        <w:t>登录“广东省住院医师规范化培训管理平台”（http://www.gdzpgl.net/），按</w:t>
      </w:r>
      <w:r>
        <w:rPr>
          <w:rStyle w:val="13"/>
          <w:rFonts w:hint="eastAsia"/>
        </w:rPr>
        <w:t>要求注册并报考我院（注：不得同时申报两家或以上医院）。报名时在系统中提交以下扫描件：</w:t>
      </w:r>
    </w:p>
    <w:p>
      <w:pPr>
        <w:spacing w:line="360" w:lineRule="auto"/>
        <w:ind w:firstLine="560" w:firstLineChars="200"/>
        <w:rPr>
          <w:rStyle w:val="13"/>
          <w:rFonts w:hint="eastAsia"/>
        </w:rPr>
      </w:pPr>
      <w:r>
        <w:rPr>
          <w:rStyle w:val="13"/>
          <w:rFonts w:hint="eastAsia"/>
        </w:rPr>
        <w:t>1、身份证</w:t>
      </w:r>
    </w:p>
    <w:p>
      <w:pPr>
        <w:spacing w:line="360" w:lineRule="auto"/>
        <w:ind w:firstLine="560" w:firstLineChars="200"/>
        <w:rPr>
          <w:rStyle w:val="13"/>
          <w:rFonts w:hint="eastAsia"/>
        </w:rPr>
      </w:pPr>
      <w:r>
        <w:rPr>
          <w:rStyle w:val="13"/>
          <w:rFonts w:hint="eastAsia"/>
        </w:rPr>
        <w:t>2、本科或研究生阶段成绩单及毕业生就业推荐表</w:t>
      </w:r>
    </w:p>
    <w:p>
      <w:pPr>
        <w:spacing w:line="360" w:lineRule="auto"/>
        <w:ind w:firstLine="560" w:firstLineChars="200"/>
        <w:rPr>
          <w:rStyle w:val="13"/>
          <w:rFonts w:hint="eastAsia"/>
          <w:color w:val="000000"/>
        </w:rPr>
      </w:pPr>
      <w:r>
        <w:rPr>
          <w:rStyle w:val="13"/>
          <w:rFonts w:hint="eastAsia"/>
        </w:rPr>
        <w:t>3、研究生在读</w:t>
      </w:r>
      <w:r>
        <w:rPr>
          <w:rStyle w:val="13"/>
          <w:rFonts w:hint="eastAsia"/>
          <w:color w:val="000000"/>
        </w:rPr>
        <w:t>期间临床轮转培养记录及相关材料（如有）</w:t>
      </w:r>
    </w:p>
    <w:p>
      <w:pPr>
        <w:spacing w:line="360" w:lineRule="auto"/>
        <w:ind w:firstLine="560" w:firstLineChars="200"/>
        <w:rPr>
          <w:rStyle w:val="13"/>
          <w:rFonts w:hint="eastAsia"/>
          <w:color w:val="000000"/>
        </w:rPr>
      </w:pPr>
      <w:r>
        <w:rPr>
          <w:rStyle w:val="13"/>
          <w:rFonts w:hint="eastAsia"/>
          <w:color w:val="000000"/>
        </w:rPr>
        <w:t>4、执业医师资格证（如有）</w:t>
      </w:r>
    </w:p>
    <w:p>
      <w:pPr>
        <w:pStyle w:val="15"/>
        <w:ind w:firstLine="562"/>
        <w:rPr>
          <w:rFonts w:hint="eastAsia"/>
          <w:b/>
          <w:bCs/>
          <w:color w:val="000000"/>
        </w:rPr>
      </w:pPr>
      <w:r>
        <w:rPr>
          <w:rFonts w:hint="eastAsia"/>
          <w:b/>
          <w:bCs/>
          <w:color w:val="000000"/>
        </w:rPr>
        <w:t>七、报名时间</w:t>
      </w:r>
    </w:p>
    <w:p>
      <w:pPr>
        <w:spacing w:after="0" w:line="360" w:lineRule="auto"/>
        <w:ind w:firstLine="560" w:firstLineChars="200"/>
        <w:rPr>
          <w:rStyle w:val="13"/>
          <w:rFonts w:hint="default" w:eastAsia="仿宋_GB2312"/>
          <w:color w:val="000000"/>
          <w:lang w:val="en-US" w:eastAsia="zh-CN"/>
        </w:rPr>
      </w:pPr>
      <w:r>
        <w:rPr>
          <w:rStyle w:val="13"/>
          <w:rFonts w:hint="eastAsia"/>
          <w:color w:val="000000"/>
        </w:rPr>
        <w:t>1、本次报名截止时间为2019年3月2</w:t>
      </w:r>
      <w:r>
        <w:rPr>
          <w:rStyle w:val="13"/>
          <w:rFonts w:hint="eastAsia" w:eastAsia="仿宋_GB2312"/>
          <w:color w:val="000000"/>
          <w:lang w:val="en-US" w:eastAsia="zh-CN"/>
        </w:rPr>
        <w:t>6</w:t>
      </w:r>
      <w:r>
        <w:rPr>
          <w:rStyle w:val="13"/>
          <w:rFonts w:hint="eastAsia"/>
          <w:color w:val="000000"/>
        </w:rPr>
        <w:t>日</w:t>
      </w:r>
      <w:r>
        <w:rPr>
          <w:rStyle w:val="13"/>
          <w:rFonts w:hint="eastAsia" w:eastAsia="仿宋_GB2312"/>
          <w:color w:val="000000"/>
          <w:lang w:val="en-US" w:eastAsia="zh-CN"/>
        </w:rPr>
        <w:t xml:space="preserve"> 24:00</w:t>
      </w:r>
      <w:bookmarkStart w:id="0" w:name="_GoBack"/>
      <w:bookmarkEnd w:id="0"/>
    </w:p>
    <w:p>
      <w:pPr>
        <w:spacing w:after="0" w:line="360" w:lineRule="auto"/>
        <w:ind w:firstLine="560" w:firstLineChars="200"/>
        <w:rPr>
          <w:rStyle w:val="13"/>
          <w:rFonts w:hint="eastAsia"/>
          <w:color w:val="000000"/>
        </w:rPr>
      </w:pPr>
      <w:r>
        <w:rPr>
          <w:rStyle w:val="13"/>
          <w:rFonts w:hint="eastAsia"/>
          <w:color w:val="000000"/>
        </w:rPr>
        <w:t>2、初审结果公布时间：通过广东省住院医师规范化培训管理平台通知，考试时间、流程及名单在广东省妇幼保健院官网公布，请大家留意。</w:t>
      </w:r>
    </w:p>
    <w:p>
      <w:pPr>
        <w:spacing w:after="0" w:line="360" w:lineRule="auto"/>
        <w:ind w:firstLine="562" w:firstLineChars="200"/>
        <w:jc w:val="both"/>
        <w:rPr>
          <w:rFonts w:ascii="仿宋_GB2312" w:hAnsi="仿宋_GB2312" w:eastAsia="仿宋_GB2312"/>
          <w:b/>
          <w:bCs/>
          <w:color w:val="000000"/>
          <w:sz w:val="28"/>
          <w:szCs w:val="28"/>
        </w:rPr>
      </w:pPr>
      <w:r>
        <w:rPr>
          <w:rFonts w:hint="eastAsia" w:ascii="仿宋_GB2312" w:hAnsi="仿宋_GB2312" w:eastAsia="仿宋_GB2312" w:cs="仿宋_GB2312"/>
          <w:b/>
          <w:bCs/>
          <w:color w:val="000000"/>
          <w:sz w:val="28"/>
          <w:szCs w:val="28"/>
        </w:rPr>
        <w:t>八、招录程序</w:t>
      </w:r>
    </w:p>
    <w:p>
      <w:pPr>
        <w:spacing w:after="0" w:line="360" w:lineRule="auto"/>
        <w:ind w:firstLine="560" w:firstLineChars="200"/>
        <w:jc w:val="both"/>
        <w:rPr>
          <w:rStyle w:val="13"/>
          <w:rFonts w:hint="eastAsia"/>
          <w:color w:val="000000"/>
        </w:rPr>
      </w:pPr>
      <w:r>
        <w:rPr>
          <w:rFonts w:ascii="仿宋_GB2312" w:hAnsi="仿宋_GB2312" w:eastAsia="仿宋_GB2312" w:cs="仿宋_GB2312"/>
          <w:color w:val="000000"/>
          <w:sz w:val="28"/>
          <w:szCs w:val="28"/>
        </w:rPr>
        <w:t>1</w:t>
      </w:r>
      <w:r>
        <w:rPr>
          <w:rFonts w:hint="eastAsia" w:ascii="仿宋_GB2312" w:hAnsi="仿宋_GB2312" w:eastAsia="仿宋_GB2312" w:cs="仿宋_GB2312"/>
          <w:color w:val="000000"/>
          <w:sz w:val="28"/>
          <w:szCs w:val="28"/>
        </w:rPr>
        <w:t>、考试：含</w:t>
      </w:r>
      <w:r>
        <w:rPr>
          <w:rStyle w:val="13"/>
          <w:rFonts w:hint="eastAsia"/>
          <w:color w:val="000000"/>
        </w:rPr>
        <w:t>面试及笔试。</w:t>
      </w:r>
    </w:p>
    <w:p>
      <w:pPr>
        <w:spacing w:after="0" w:line="360" w:lineRule="auto"/>
        <w:ind w:firstLine="560" w:firstLineChars="200"/>
        <w:jc w:val="both"/>
        <w:rPr>
          <w:rFonts w:ascii="仿宋_GB2312" w:hAnsi="仿宋_GB2312" w:eastAsia="仿宋_GB2312"/>
          <w:sz w:val="28"/>
          <w:szCs w:val="28"/>
        </w:rPr>
      </w:pPr>
      <w:r>
        <w:rPr>
          <w:rFonts w:hint="eastAsia" w:ascii="仿宋_GB2312" w:hAnsi="仿宋_GB2312" w:eastAsia="仿宋_GB2312" w:cs="仿宋_GB2312"/>
          <w:color w:val="000000"/>
          <w:sz w:val="28"/>
          <w:szCs w:val="28"/>
        </w:rPr>
        <w:t>2、考试及面试时间：</w:t>
      </w:r>
      <w:r>
        <w:rPr>
          <w:rFonts w:ascii="仿宋_GB2312" w:hAnsi="仿宋_GB2312" w:eastAsia="仿宋_GB2312" w:cs="仿宋_GB2312"/>
          <w:color w:val="000000"/>
          <w:sz w:val="28"/>
          <w:szCs w:val="28"/>
        </w:rPr>
        <w:t>201</w:t>
      </w:r>
      <w:r>
        <w:rPr>
          <w:rFonts w:hint="eastAsia" w:ascii="仿宋_GB2312" w:hAnsi="仿宋_GB2312" w:eastAsia="仿宋_GB2312" w:cs="仿宋_GB2312"/>
          <w:color w:val="000000"/>
          <w:sz w:val="28"/>
          <w:szCs w:val="28"/>
        </w:rPr>
        <w:t>9年3月</w:t>
      </w:r>
      <w:r>
        <w:rPr>
          <w:rFonts w:hint="eastAsia" w:ascii="仿宋_GB2312" w:hAnsi="仿宋_GB2312" w:eastAsia="仿宋_GB2312" w:cs="仿宋_GB2312"/>
          <w:sz w:val="28"/>
          <w:szCs w:val="28"/>
        </w:rPr>
        <w:t>下旬-4月（具体时间待定）。</w:t>
      </w:r>
    </w:p>
    <w:p>
      <w:pPr>
        <w:spacing w:after="0" w:line="360" w:lineRule="auto"/>
        <w:ind w:firstLine="560" w:firstLineChars="200"/>
        <w:jc w:val="both"/>
        <w:rPr>
          <w:rFonts w:hint="eastAsia" w:ascii="仿宋_GB2312" w:hAnsi="仿宋_GB2312" w:eastAsia="仿宋_GB2312" w:cs="仿宋_GB2312"/>
          <w:color w:val="000000"/>
          <w:sz w:val="28"/>
          <w:szCs w:val="28"/>
        </w:rPr>
      </w:pPr>
      <w:r>
        <w:rPr>
          <w:rFonts w:hint="eastAsia" w:ascii="仿宋_GB2312" w:hAnsi="仿宋_GB2312" w:eastAsia="仿宋_GB2312" w:cs="仿宋_GB2312"/>
          <w:sz w:val="28"/>
          <w:szCs w:val="28"/>
        </w:rPr>
        <w:t>3、录用：专业考试和面试成绩各占</w:t>
      </w:r>
      <w:r>
        <w:rPr>
          <w:rFonts w:ascii="仿宋_GB2312" w:hAnsi="仿宋_GB2312" w:eastAsia="仿宋_GB2312" w:cs="仿宋_GB2312"/>
          <w:sz w:val="28"/>
          <w:szCs w:val="28"/>
        </w:rPr>
        <w:t>50%</w:t>
      </w:r>
      <w:r>
        <w:rPr>
          <w:rFonts w:hint="eastAsia" w:ascii="仿宋_GB2312" w:hAnsi="仿宋_GB2312" w:eastAsia="仿宋_GB2312" w:cs="仿宋_GB2312"/>
          <w:sz w:val="28"/>
          <w:szCs w:val="28"/>
        </w:rPr>
        <w:t>，根据考试结果及临床培训经历等综合得分，按照</w:t>
      </w:r>
      <w:r>
        <w:rPr>
          <w:rFonts w:hint="eastAsia" w:ascii="仿宋_GB2312" w:hAnsi="仿宋_GB2312" w:eastAsia="仿宋_GB2312" w:cs="仿宋_GB2312"/>
          <w:color w:val="000000"/>
          <w:sz w:val="28"/>
          <w:szCs w:val="28"/>
        </w:rPr>
        <w:t>“公开公平、择优录取、双向选择”原则确定培训对象，额满为止。</w:t>
      </w:r>
    </w:p>
    <w:p>
      <w:pPr>
        <w:spacing w:after="0" w:line="360" w:lineRule="auto"/>
        <w:ind w:firstLine="560" w:firstLineChars="200"/>
        <w:jc w:val="both"/>
        <w:rPr>
          <w:rStyle w:val="13"/>
          <w:color w:val="000000"/>
        </w:rPr>
      </w:pPr>
      <w:r>
        <w:rPr>
          <w:rFonts w:hint="eastAsia" w:ascii="仿宋_GB2312" w:hAnsi="仿宋_GB2312" w:eastAsia="仿宋_GB2312" w:cs="仿宋_GB2312"/>
          <w:color w:val="000000"/>
          <w:sz w:val="28"/>
          <w:szCs w:val="28"/>
        </w:rPr>
        <w:t>4、</w:t>
      </w:r>
      <w:r>
        <w:rPr>
          <w:rStyle w:val="13"/>
          <w:rFonts w:hint="eastAsia"/>
          <w:color w:val="000000"/>
        </w:rPr>
        <w:t>录取学员与医院签订培训协议，并办理有关手续。</w:t>
      </w:r>
    </w:p>
    <w:p>
      <w:pPr>
        <w:pStyle w:val="15"/>
        <w:ind w:firstLine="562"/>
        <w:rPr>
          <w:b/>
          <w:bCs/>
          <w:color w:val="000000"/>
        </w:rPr>
      </w:pPr>
      <w:r>
        <w:rPr>
          <w:rFonts w:hint="eastAsia"/>
          <w:b/>
          <w:bCs/>
          <w:color w:val="000000"/>
        </w:rPr>
        <w:t>九、联系方式</w:t>
      </w:r>
    </w:p>
    <w:p>
      <w:pPr>
        <w:spacing w:after="0" w:line="360" w:lineRule="auto"/>
        <w:ind w:firstLine="560" w:firstLineChars="200"/>
        <w:rPr>
          <w:rStyle w:val="13"/>
          <w:color w:val="000000"/>
        </w:rPr>
      </w:pPr>
      <w:r>
        <w:rPr>
          <w:rStyle w:val="13"/>
          <w:rFonts w:hint="eastAsia"/>
          <w:color w:val="000000"/>
        </w:rPr>
        <w:t>联系人：俞老师</w:t>
      </w:r>
    </w:p>
    <w:p>
      <w:pPr>
        <w:spacing w:after="0" w:line="360" w:lineRule="auto"/>
        <w:ind w:firstLine="560" w:firstLineChars="200"/>
        <w:rPr>
          <w:rStyle w:val="13"/>
          <w:rFonts w:hint="eastAsia"/>
        </w:rPr>
      </w:pPr>
      <w:r>
        <w:rPr>
          <w:rStyle w:val="13"/>
          <w:rFonts w:hint="eastAsia"/>
        </w:rPr>
        <w:t>联系电话：</w:t>
      </w:r>
      <w:r>
        <w:rPr>
          <w:rStyle w:val="13"/>
        </w:rPr>
        <w:t>0757-8</w:t>
      </w:r>
      <w:r>
        <w:rPr>
          <w:rStyle w:val="13"/>
          <w:rFonts w:hint="eastAsia"/>
        </w:rPr>
        <w:t>6323050（电话），0757-86299575（传真）</w:t>
      </w:r>
    </w:p>
    <w:p>
      <w:pPr>
        <w:spacing w:after="0" w:line="360" w:lineRule="auto"/>
        <w:ind w:firstLine="560" w:firstLineChars="200"/>
        <w:rPr>
          <w:rStyle w:val="13"/>
        </w:rPr>
      </w:pPr>
      <w:r>
        <w:rPr>
          <w:rStyle w:val="13"/>
          <w:rFonts w:hint="eastAsia"/>
        </w:rPr>
        <w:t>电子邮箱：</w:t>
      </w:r>
      <w:r>
        <w:rPr>
          <w:rStyle w:val="13"/>
        </w:rPr>
        <w:t xml:space="preserve">nhfykjk@163.com     </w:t>
      </w:r>
    </w:p>
    <w:p>
      <w:pPr>
        <w:spacing w:after="0" w:line="360" w:lineRule="auto"/>
        <w:ind w:firstLine="560" w:firstLineChars="200"/>
        <w:rPr>
          <w:rStyle w:val="13"/>
          <w:rFonts w:hint="eastAsia"/>
        </w:rPr>
      </w:pPr>
      <w:r>
        <w:rPr>
          <w:rStyle w:val="13"/>
          <w:rFonts w:hint="eastAsia"/>
        </w:rPr>
        <w:t>联系地址：广东省佛山市南海区桂城桂平西路12号佛山市南海区妇幼保健院科教科，邮编：</w:t>
      </w:r>
      <w:r>
        <w:rPr>
          <w:rStyle w:val="13"/>
        </w:rPr>
        <w:t>528</w:t>
      </w:r>
      <w:r>
        <w:rPr>
          <w:rStyle w:val="13"/>
          <w:rFonts w:hint="eastAsia"/>
        </w:rPr>
        <w:t>2</w:t>
      </w:r>
      <w:r>
        <w:rPr>
          <w:rStyle w:val="13"/>
        </w:rPr>
        <w:t>00</w:t>
      </w:r>
      <w:r>
        <w:rPr>
          <w:rStyle w:val="13"/>
          <w:rFonts w:hint="eastAsia"/>
        </w:rPr>
        <w:t>。</w:t>
      </w:r>
      <w:r>
        <w:rPr>
          <w:rStyle w:val="13"/>
        </w:rPr>
        <w:t xml:space="preserve">   </w:t>
      </w:r>
    </w:p>
    <w:p>
      <w:pPr>
        <w:spacing w:after="0" w:line="360" w:lineRule="auto"/>
        <w:ind w:firstLine="555"/>
        <w:jc w:val="right"/>
        <w:rPr>
          <w:rFonts w:hint="eastAsia" w:ascii="仿宋_GB2312" w:hAnsi="仿宋_GB2312" w:eastAsia="仿宋_GB2312" w:cs="仿宋_GB2312"/>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佛山市南海区妇幼保健院科教科</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　</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二</w:t>
      </w:r>
      <w:r>
        <w:rPr>
          <w:rFonts w:ascii="仿宋_GB2312" w:hAnsi="仿宋_GB2312" w:eastAsia="仿宋_GB2312" w:cs="仿宋_GB2312"/>
          <w:sz w:val="28"/>
          <w:szCs w:val="28"/>
        </w:rPr>
        <w:t>O</w:t>
      </w:r>
      <w:r>
        <w:rPr>
          <w:rFonts w:hint="eastAsia" w:ascii="仿宋_GB2312" w:hAnsi="仿宋_GB2312" w:eastAsia="仿宋_GB2312" w:cs="仿宋_GB2312"/>
          <w:sz w:val="28"/>
          <w:szCs w:val="28"/>
        </w:rPr>
        <w:t>一九年二月二十二日</w:t>
      </w:r>
    </w:p>
    <w:p>
      <w:pPr>
        <w:spacing w:after="0" w:line="360" w:lineRule="auto"/>
        <w:ind w:firstLine="555"/>
        <w:jc w:val="right"/>
        <w:rPr>
          <w:rFonts w:hint="eastAsia" w:ascii="仿宋_GB2312" w:hAnsi="仿宋_GB2312" w:eastAsia="仿宋_GB2312" w:cs="仿宋_GB2312"/>
          <w:sz w:val="28"/>
          <w:szCs w:val="28"/>
        </w:rPr>
      </w:pPr>
    </w:p>
    <w:p>
      <w:pPr>
        <w:pStyle w:val="5"/>
        <w:spacing w:before="0" w:beforeAutospacing="0" w:after="0" w:afterAutospacing="0" w:line="480" w:lineRule="exact"/>
        <w:rPr>
          <w:rFonts w:hint="eastAsia"/>
          <w:b/>
          <w:bCs/>
          <w:sz w:val="32"/>
          <w:szCs w:val="32"/>
        </w:rPr>
      </w:pPr>
    </w:p>
    <w:p>
      <w:pPr>
        <w:pStyle w:val="5"/>
        <w:spacing w:before="0" w:beforeAutospacing="0" w:after="0" w:afterAutospacing="0" w:line="480" w:lineRule="exact"/>
        <w:rPr>
          <w:rFonts w:hint="eastAsia"/>
          <w:b/>
          <w:bCs/>
          <w:sz w:val="32"/>
          <w:szCs w:val="32"/>
        </w:rPr>
      </w:pPr>
    </w:p>
    <w:p>
      <w:pPr>
        <w:pStyle w:val="5"/>
        <w:spacing w:before="0" w:beforeAutospacing="0" w:after="0" w:afterAutospacing="0" w:line="480" w:lineRule="exact"/>
        <w:rPr>
          <w:rFonts w:hint="eastAsia"/>
          <w:b/>
          <w:bCs/>
          <w:sz w:val="32"/>
          <w:szCs w:val="32"/>
        </w:rPr>
      </w:pPr>
    </w:p>
    <w:p>
      <w:pPr>
        <w:pStyle w:val="5"/>
        <w:spacing w:before="0" w:beforeAutospacing="0" w:after="0" w:afterAutospacing="0" w:line="480" w:lineRule="exact"/>
        <w:rPr>
          <w:rFonts w:hint="eastAsia"/>
          <w:b/>
          <w:bCs/>
          <w:sz w:val="32"/>
          <w:szCs w:val="32"/>
        </w:rPr>
      </w:pPr>
    </w:p>
    <w:sectPr>
      <w:footerReference r:id="rId3" w:type="default"/>
      <w:pgSz w:w="11906" w:h="16838"/>
      <w:pgMar w:top="1440" w:right="1797" w:bottom="1077" w:left="1797" w:header="709" w:footer="709" w:gutter="0"/>
      <w:cols w:space="720" w:num="1"/>
      <w:docGrid w:type="lines"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center" w:y="1"/>
      <w:rPr>
        <w:rStyle w:val="10"/>
      </w:rPr>
    </w:pPr>
    <w:r>
      <w:fldChar w:fldCharType="begin"/>
    </w:r>
    <w:r>
      <w:rPr>
        <w:rStyle w:val="10"/>
      </w:rPr>
      <w:instrText xml:space="preserve">PAGE  </w:instrText>
    </w:r>
    <w:r>
      <w:fldChar w:fldCharType="separate"/>
    </w:r>
    <w:r>
      <w:rPr>
        <w:rStyle w:val="10"/>
      </w:rPr>
      <w:t>6</w:t>
    </w:r>
    <w:r>
      <w:fldChar w:fldCharType="end"/>
    </w:r>
  </w:p>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cumentProtection w:enforcement="0"/>
  <w:defaultTabStop w:val="720"/>
  <w:doNotHyphenateCaps/>
  <w:noPunctuationKerning w:val="1"/>
  <w:characterSpacingControl w:val="doNotCompress"/>
  <w:doNotValidateAgainstSchema/>
  <w:doNotDemarcateInvalidXml/>
  <w:compat>
    <w:doNotExpandShiftReturn/>
    <w:useFELayout/>
    <w:compatSetting w:name="compatibilityMode" w:uri="http://schemas.microsoft.com/office/word" w:val="12"/>
  </w:compat>
  <w:rsids>
    <w:rsidRoot w:val="00D31D50"/>
    <w:rsid w:val="00000C35"/>
    <w:rsid w:val="00006614"/>
    <w:rsid w:val="00011013"/>
    <w:rsid w:val="00014293"/>
    <w:rsid w:val="00017521"/>
    <w:rsid w:val="000178FE"/>
    <w:rsid w:val="000244D3"/>
    <w:rsid w:val="000330AE"/>
    <w:rsid w:val="00036A84"/>
    <w:rsid w:val="0004148C"/>
    <w:rsid w:val="0004157E"/>
    <w:rsid w:val="0005522F"/>
    <w:rsid w:val="00063488"/>
    <w:rsid w:val="00076392"/>
    <w:rsid w:val="00077F3D"/>
    <w:rsid w:val="00086849"/>
    <w:rsid w:val="000923EF"/>
    <w:rsid w:val="000A5B0E"/>
    <w:rsid w:val="000A7FF3"/>
    <w:rsid w:val="000C07E2"/>
    <w:rsid w:val="000C391E"/>
    <w:rsid w:val="000D0B89"/>
    <w:rsid w:val="000D42FF"/>
    <w:rsid w:val="000D4EE1"/>
    <w:rsid w:val="000D62DD"/>
    <w:rsid w:val="000D69A9"/>
    <w:rsid w:val="000E598D"/>
    <w:rsid w:val="000E5C96"/>
    <w:rsid w:val="000E6E87"/>
    <w:rsid w:val="000F0433"/>
    <w:rsid w:val="000F3538"/>
    <w:rsid w:val="000F7DE1"/>
    <w:rsid w:val="00102E69"/>
    <w:rsid w:val="0011017E"/>
    <w:rsid w:val="001167EA"/>
    <w:rsid w:val="0013250B"/>
    <w:rsid w:val="00132BE2"/>
    <w:rsid w:val="00137B95"/>
    <w:rsid w:val="00142FD6"/>
    <w:rsid w:val="00144CFB"/>
    <w:rsid w:val="001519B0"/>
    <w:rsid w:val="00151BF3"/>
    <w:rsid w:val="00167ED7"/>
    <w:rsid w:val="00173296"/>
    <w:rsid w:val="00182147"/>
    <w:rsid w:val="00183620"/>
    <w:rsid w:val="0019071B"/>
    <w:rsid w:val="001938CF"/>
    <w:rsid w:val="00197677"/>
    <w:rsid w:val="001A43D2"/>
    <w:rsid w:val="001B241D"/>
    <w:rsid w:val="001B48EF"/>
    <w:rsid w:val="001C1D5E"/>
    <w:rsid w:val="001C3B54"/>
    <w:rsid w:val="001E663F"/>
    <w:rsid w:val="001F1F17"/>
    <w:rsid w:val="002006C6"/>
    <w:rsid w:val="00204FFD"/>
    <w:rsid w:val="00223A08"/>
    <w:rsid w:val="00235B07"/>
    <w:rsid w:val="00236761"/>
    <w:rsid w:val="00240620"/>
    <w:rsid w:val="002419AB"/>
    <w:rsid w:val="00242AE2"/>
    <w:rsid w:val="0024534C"/>
    <w:rsid w:val="0024656E"/>
    <w:rsid w:val="00247EBD"/>
    <w:rsid w:val="0025444A"/>
    <w:rsid w:val="002547C5"/>
    <w:rsid w:val="00260BBF"/>
    <w:rsid w:val="00262B2C"/>
    <w:rsid w:val="00270CD2"/>
    <w:rsid w:val="002729A9"/>
    <w:rsid w:val="00273FB2"/>
    <w:rsid w:val="00276884"/>
    <w:rsid w:val="0028676D"/>
    <w:rsid w:val="002969D0"/>
    <w:rsid w:val="002A4EDC"/>
    <w:rsid w:val="002B3B5C"/>
    <w:rsid w:val="002B40C3"/>
    <w:rsid w:val="002B626B"/>
    <w:rsid w:val="002D29CE"/>
    <w:rsid w:val="002E0A3A"/>
    <w:rsid w:val="002F1041"/>
    <w:rsid w:val="002F1272"/>
    <w:rsid w:val="002F46D0"/>
    <w:rsid w:val="00317041"/>
    <w:rsid w:val="00321A7E"/>
    <w:rsid w:val="00322AD1"/>
    <w:rsid w:val="00323B43"/>
    <w:rsid w:val="00324CC6"/>
    <w:rsid w:val="00325EAF"/>
    <w:rsid w:val="0033070A"/>
    <w:rsid w:val="003340F3"/>
    <w:rsid w:val="0034010D"/>
    <w:rsid w:val="00342D18"/>
    <w:rsid w:val="00347D4E"/>
    <w:rsid w:val="00350613"/>
    <w:rsid w:val="00372DD1"/>
    <w:rsid w:val="003756EC"/>
    <w:rsid w:val="00392721"/>
    <w:rsid w:val="003953A1"/>
    <w:rsid w:val="003A1D99"/>
    <w:rsid w:val="003A6783"/>
    <w:rsid w:val="003B2640"/>
    <w:rsid w:val="003B5442"/>
    <w:rsid w:val="003C34C7"/>
    <w:rsid w:val="003C47C1"/>
    <w:rsid w:val="003D2CED"/>
    <w:rsid w:val="003D37D8"/>
    <w:rsid w:val="003D776D"/>
    <w:rsid w:val="003E1E4C"/>
    <w:rsid w:val="003E5FD7"/>
    <w:rsid w:val="003E775A"/>
    <w:rsid w:val="003F0E16"/>
    <w:rsid w:val="003F267B"/>
    <w:rsid w:val="003F2C97"/>
    <w:rsid w:val="004009DB"/>
    <w:rsid w:val="00405845"/>
    <w:rsid w:val="004118C7"/>
    <w:rsid w:val="00412136"/>
    <w:rsid w:val="00414582"/>
    <w:rsid w:val="00420353"/>
    <w:rsid w:val="0042110B"/>
    <w:rsid w:val="00422C29"/>
    <w:rsid w:val="00423D77"/>
    <w:rsid w:val="00424985"/>
    <w:rsid w:val="00426133"/>
    <w:rsid w:val="0042638E"/>
    <w:rsid w:val="00426723"/>
    <w:rsid w:val="004358AB"/>
    <w:rsid w:val="004400F1"/>
    <w:rsid w:val="004463D9"/>
    <w:rsid w:val="00461A8C"/>
    <w:rsid w:val="00463D2A"/>
    <w:rsid w:val="00466633"/>
    <w:rsid w:val="00480814"/>
    <w:rsid w:val="00480A06"/>
    <w:rsid w:val="004849CA"/>
    <w:rsid w:val="00484A54"/>
    <w:rsid w:val="004941CC"/>
    <w:rsid w:val="004A04CF"/>
    <w:rsid w:val="004A5E97"/>
    <w:rsid w:val="004B3ABA"/>
    <w:rsid w:val="004B5D1E"/>
    <w:rsid w:val="004B6EFE"/>
    <w:rsid w:val="004C2464"/>
    <w:rsid w:val="004C6B71"/>
    <w:rsid w:val="004C753E"/>
    <w:rsid w:val="004D0E0B"/>
    <w:rsid w:val="004D1265"/>
    <w:rsid w:val="004D4456"/>
    <w:rsid w:val="004D70A7"/>
    <w:rsid w:val="004E223E"/>
    <w:rsid w:val="004E3BB1"/>
    <w:rsid w:val="004F004B"/>
    <w:rsid w:val="004F5A9E"/>
    <w:rsid w:val="005012EE"/>
    <w:rsid w:val="005064B6"/>
    <w:rsid w:val="005171EB"/>
    <w:rsid w:val="005217C8"/>
    <w:rsid w:val="005251A9"/>
    <w:rsid w:val="00525D2C"/>
    <w:rsid w:val="00527805"/>
    <w:rsid w:val="0054493F"/>
    <w:rsid w:val="00546D0F"/>
    <w:rsid w:val="00550AFA"/>
    <w:rsid w:val="005539E5"/>
    <w:rsid w:val="00553D8A"/>
    <w:rsid w:val="00560C46"/>
    <w:rsid w:val="005623F8"/>
    <w:rsid w:val="00566E86"/>
    <w:rsid w:val="005678CA"/>
    <w:rsid w:val="0057090E"/>
    <w:rsid w:val="00590BBD"/>
    <w:rsid w:val="00591B82"/>
    <w:rsid w:val="00592AE9"/>
    <w:rsid w:val="005A0E3D"/>
    <w:rsid w:val="005A3F46"/>
    <w:rsid w:val="005C13B7"/>
    <w:rsid w:val="005C388A"/>
    <w:rsid w:val="005E007A"/>
    <w:rsid w:val="005E05B3"/>
    <w:rsid w:val="005E05D9"/>
    <w:rsid w:val="005E2A55"/>
    <w:rsid w:val="005F2D68"/>
    <w:rsid w:val="005F7310"/>
    <w:rsid w:val="00606FFA"/>
    <w:rsid w:val="00610825"/>
    <w:rsid w:val="0062169C"/>
    <w:rsid w:val="006244C6"/>
    <w:rsid w:val="00626635"/>
    <w:rsid w:val="006315AD"/>
    <w:rsid w:val="00632AD7"/>
    <w:rsid w:val="0063396B"/>
    <w:rsid w:val="00637D0B"/>
    <w:rsid w:val="00665AEB"/>
    <w:rsid w:val="00665F7D"/>
    <w:rsid w:val="006725AD"/>
    <w:rsid w:val="0067316B"/>
    <w:rsid w:val="006800E7"/>
    <w:rsid w:val="00697FF5"/>
    <w:rsid w:val="006B042E"/>
    <w:rsid w:val="006B42EE"/>
    <w:rsid w:val="006C37F3"/>
    <w:rsid w:val="006C45A9"/>
    <w:rsid w:val="0070142F"/>
    <w:rsid w:val="0070501B"/>
    <w:rsid w:val="00712219"/>
    <w:rsid w:val="00712AE6"/>
    <w:rsid w:val="00713430"/>
    <w:rsid w:val="00715920"/>
    <w:rsid w:val="00723594"/>
    <w:rsid w:val="00731E69"/>
    <w:rsid w:val="00732507"/>
    <w:rsid w:val="007349BD"/>
    <w:rsid w:val="0074259D"/>
    <w:rsid w:val="007807D4"/>
    <w:rsid w:val="007816CA"/>
    <w:rsid w:val="0078293D"/>
    <w:rsid w:val="007911EB"/>
    <w:rsid w:val="00792692"/>
    <w:rsid w:val="007959EF"/>
    <w:rsid w:val="007A1BF6"/>
    <w:rsid w:val="007A35DA"/>
    <w:rsid w:val="007A3E82"/>
    <w:rsid w:val="007A6A5D"/>
    <w:rsid w:val="007B69F1"/>
    <w:rsid w:val="007C4ED6"/>
    <w:rsid w:val="007D4B40"/>
    <w:rsid w:val="007D7586"/>
    <w:rsid w:val="007D7B12"/>
    <w:rsid w:val="007E02D9"/>
    <w:rsid w:val="007E2100"/>
    <w:rsid w:val="007E4B15"/>
    <w:rsid w:val="007E50FF"/>
    <w:rsid w:val="00811F9A"/>
    <w:rsid w:val="00814DD4"/>
    <w:rsid w:val="008168D2"/>
    <w:rsid w:val="008240C8"/>
    <w:rsid w:val="008325C0"/>
    <w:rsid w:val="00840AF6"/>
    <w:rsid w:val="008531BA"/>
    <w:rsid w:val="00854905"/>
    <w:rsid w:val="008614EB"/>
    <w:rsid w:val="00872A18"/>
    <w:rsid w:val="008818F1"/>
    <w:rsid w:val="0088206F"/>
    <w:rsid w:val="008960B2"/>
    <w:rsid w:val="00897DC2"/>
    <w:rsid w:val="008A1EAB"/>
    <w:rsid w:val="008A245F"/>
    <w:rsid w:val="008B6432"/>
    <w:rsid w:val="008B7726"/>
    <w:rsid w:val="008C0767"/>
    <w:rsid w:val="008C540D"/>
    <w:rsid w:val="008D3679"/>
    <w:rsid w:val="008D7ED9"/>
    <w:rsid w:val="008F45F6"/>
    <w:rsid w:val="008F50CB"/>
    <w:rsid w:val="008F7E79"/>
    <w:rsid w:val="00905C13"/>
    <w:rsid w:val="00906579"/>
    <w:rsid w:val="00911D6F"/>
    <w:rsid w:val="00913F62"/>
    <w:rsid w:val="009142C3"/>
    <w:rsid w:val="00920180"/>
    <w:rsid w:val="00944BAA"/>
    <w:rsid w:val="00954D90"/>
    <w:rsid w:val="009569E6"/>
    <w:rsid w:val="009607D8"/>
    <w:rsid w:val="009663C8"/>
    <w:rsid w:val="009829FD"/>
    <w:rsid w:val="00983407"/>
    <w:rsid w:val="0098424A"/>
    <w:rsid w:val="00991909"/>
    <w:rsid w:val="009945BD"/>
    <w:rsid w:val="00995CB7"/>
    <w:rsid w:val="00995F82"/>
    <w:rsid w:val="009969C9"/>
    <w:rsid w:val="009A0A6D"/>
    <w:rsid w:val="009A4B34"/>
    <w:rsid w:val="009B2C3F"/>
    <w:rsid w:val="009C5DC5"/>
    <w:rsid w:val="009D3230"/>
    <w:rsid w:val="009D4457"/>
    <w:rsid w:val="009D627F"/>
    <w:rsid w:val="009E0D3E"/>
    <w:rsid w:val="009E150E"/>
    <w:rsid w:val="009E1D77"/>
    <w:rsid w:val="009E2A48"/>
    <w:rsid w:val="009F1DB9"/>
    <w:rsid w:val="009F37D7"/>
    <w:rsid w:val="009F5970"/>
    <w:rsid w:val="009F6CB3"/>
    <w:rsid w:val="009F7523"/>
    <w:rsid w:val="00A12CF9"/>
    <w:rsid w:val="00A154D8"/>
    <w:rsid w:val="00A24526"/>
    <w:rsid w:val="00A252F4"/>
    <w:rsid w:val="00A26B2C"/>
    <w:rsid w:val="00A46A92"/>
    <w:rsid w:val="00A632BB"/>
    <w:rsid w:val="00A657B3"/>
    <w:rsid w:val="00A761B7"/>
    <w:rsid w:val="00A808ED"/>
    <w:rsid w:val="00A845E8"/>
    <w:rsid w:val="00A93BD7"/>
    <w:rsid w:val="00A94098"/>
    <w:rsid w:val="00AA6A2A"/>
    <w:rsid w:val="00AA7B68"/>
    <w:rsid w:val="00AB0934"/>
    <w:rsid w:val="00AB0A3C"/>
    <w:rsid w:val="00AC3F55"/>
    <w:rsid w:val="00AC41E7"/>
    <w:rsid w:val="00AC6FA7"/>
    <w:rsid w:val="00AD636D"/>
    <w:rsid w:val="00AD7F9E"/>
    <w:rsid w:val="00AE0DC3"/>
    <w:rsid w:val="00AE4381"/>
    <w:rsid w:val="00AE53C0"/>
    <w:rsid w:val="00AF1FB3"/>
    <w:rsid w:val="00AF2FA9"/>
    <w:rsid w:val="00AF396C"/>
    <w:rsid w:val="00AF4846"/>
    <w:rsid w:val="00AF600D"/>
    <w:rsid w:val="00B027F9"/>
    <w:rsid w:val="00B03549"/>
    <w:rsid w:val="00B07701"/>
    <w:rsid w:val="00B210F5"/>
    <w:rsid w:val="00B211E9"/>
    <w:rsid w:val="00B22D35"/>
    <w:rsid w:val="00B23E73"/>
    <w:rsid w:val="00B25179"/>
    <w:rsid w:val="00B355BB"/>
    <w:rsid w:val="00B45347"/>
    <w:rsid w:val="00B478BA"/>
    <w:rsid w:val="00B5346B"/>
    <w:rsid w:val="00B633DF"/>
    <w:rsid w:val="00B65C6C"/>
    <w:rsid w:val="00B6704E"/>
    <w:rsid w:val="00B72B1B"/>
    <w:rsid w:val="00B75234"/>
    <w:rsid w:val="00B77A99"/>
    <w:rsid w:val="00B8703A"/>
    <w:rsid w:val="00B877F5"/>
    <w:rsid w:val="00B91C76"/>
    <w:rsid w:val="00B93A45"/>
    <w:rsid w:val="00B94231"/>
    <w:rsid w:val="00BA4014"/>
    <w:rsid w:val="00BA7A9E"/>
    <w:rsid w:val="00BB242B"/>
    <w:rsid w:val="00BE414C"/>
    <w:rsid w:val="00BE6504"/>
    <w:rsid w:val="00BF1BB8"/>
    <w:rsid w:val="00BF62D5"/>
    <w:rsid w:val="00C00688"/>
    <w:rsid w:val="00C10047"/>
    <w:rsid w:val="00C13553"/>
    <w:rsid w:val="00C13958"/>
    <w:rsid w:val="00C17E78"/>
    <w:rsid w:val="00C20714"/>
    <w:rsid w:val="00C22116"/>
    <w:rsid w:val="00C2410B"/>
    <w:rsid w:val="00C326AF"/>
    <w:rsid w:val="00C3326D"/>
    <w:rsid w:val="00C35671"/>
    <w:rsid w:val="00C36666"/>
    <w:rsid w:val="00C37FFD"/>
    <w:rsid w:val="00C44981"/>
    <w:rsid w:val="00C463B8"/>
    <w:rsid w:val="00C50AC0"/>
    <w:rsid w:val="00C60D16"/>
    <w:rsid w:val="00C631B7"/>
    <w:rsid w:val="00C7545F"/>
    <w:rsid w:val="00C77712"/>
    <w:rsid w:val="00C80837"/>
    <w:rsid w:val="00C82E5F"/>
    <w:rsid w:val="00C9376A"/>
    <w:rsid w:val="00CA4843"/>
    <w:rsid w:val="00CB7E0C"/>
    <w:rsid w:val="00CC109F"/>
    <w:rsid w:val="00CC21B1"/>
    <w:rsid w:val="00CC3AE2"/>
    <w:rsid w:val="00CD04F6"/>
    <w:rsid w:val="00CD43BB"/>
    <w:rsid w:val="00CE04A3"/>
    <w:rsid w:val="00CE28B2"/>
    <w:rsid w:val="00D031F4"/>
    <w:rsid w:val="00D059AC"/>
    <w:rsid w:val="00D11BFA"/>
    <w:rsid w:val="00D1465F"/>
    <w:rsid w:val="00D15264"/>
    <w:rsid w:val="00D1601C"/>
    <w:rsid w:val="00D25AE0"/>
    <w:rsid w:val="00D31D50"/>
    <w:rsid w:val="00D33483"/>
    <w:rsid w:val="00D40C76"/>
    <w:rsid w:val="00D51FA5"/>
    <w:rsid w:val="00D53166"/>
    <w:rsid w:val="00D64858"/>
    <w:rsid w:val="00D651AB"/>
    <w:rsid w:val="00D653DC"/>
    <w:rsid w:val="00D7246E"/>
    <w:rsid w:val="00D73A3F"/>
    <w:rsid w:val="00D7628A"/>
    <w:rsid w:val="00D808DF"/>
    <w:rsid w:val="00D82B74"/>
    <w:rsid w:val="00D862D7"/>
    <w:rsid w:val="00D9199E"/>
    <w:rsid w:val="00D93A40"/>
    <w:rsid w:val="00DA155B"/>
    <w:rsid w:val="00DA298C"/>
    <w:rsid w:val="00DB138A"/>
    <w:rsid w:val="00DC0929"/>
    <w:rsid w:val="00DC20A5"/>
    <w:rsid w:val="00DC4B73"/>
    <w:rsid w:val="00DD295D"/>
    <w:rsid w:val="00DD3099"/>
    <w:rsid w:val="00DD4AD1"/>
    <w:rsid w:val="00DE2F8D"/>
    <w:rsid w:val="00DE516D"/>
    <w:rsid w:val="00DE725E"/>
    <w:rsid w:val="00DF69FB"/>
    <w:rsid w:val="00DF6B9B"/>
    <w:rsid w:val="00DF70F5"/>
    <w:rsid w:val="00E02505"/>
    <w:rsid w:val="00E045CC"/>
    <w:rsid w:val="00E07805"/>
    <w:rsid w:val="00E15819"/>
    <w:rsid w:val="00E15936"/>
    <w:rsid w:val="00E3504E"/>
    <w:rsid w:val="00E35FE3"/>
    <w:rsid w:val="00E362EA"/>
    <w:rsid w:val="00E37C84"/>
    <w:rsid w:val="00E40806"/>
    <w:rsid w:val="00E46837"/>
    <w:rsid w:val="00E572DB"/>
    <w:rsid w:val="00E57EFC"/>
    <w:rsid w:val="00E612D6"/>
    <w:rsid w:val="00E716AF"/>
    <w:rsid w:val="00E72CDE"/>
    <w:rsid w:val="00E74269"/>
    <w:rsid w:val="00E7673D"/>
    <w:rsid w:val="00E81A65"/>
    <w:rsid w:val="00E84CC0"/>
    <w:rsid w:val="00E96428"/>
    <w:rsid w:val="00E96768"/>
    <w:rsid w:val="00E96986"/>
    <w:rsid w:val="00E96F76"/>
    <w:rsid w:val="00EA127B"/>
    <w:rsid w:val="00EB082F"/>
    <w:rsid w:val="00EC67A6"/>
    <w:rsid w:val="00EE0436"/>
    <w:rsid w:val="00EE5972"/>
    <w:rsid w:val="00EF100D"/>
    <w:rsid w:val="00EF6487"/>
    <w:rsid w:val="00EF6AA8"/>
    <w:rsid w:val="00F3117F"/>
    <w:rsid w:val="00F32AA0"/>
    <w:rsid w:val="00F33005"/>
    <w:rsid w:val="00F3358A"/>
    <w:rsid w:val="00F41F87"/>
    <w:rsid w:val="00F6108B"/>
    <w:rsid w:val="00F6395E"/>
    <w:rsid w:val="00F701A4"/>
    <w:rsid w:val="00F701F8"/>
    <w:rsid w:val="00F74FC3"/>
    <w:rsid w:val="00F80CCE"/>
    <w:rsid w:val="00F81DA1"/>
    <w:rsid w:val="00F92562"/>
    <w:rsid w:val="00F96D20"/>
    <w:rsid w:val="00FA1E76"/>
    <w:rsid w:val="00FA20B9"/>
    <w:rsid w:val="00FA4E0A"/>
    <w:rsid w:val="00FA5752"/>
    <w:rsid w:val="00FB5381"/>
    <w:rsid w:val="00FB57C0"/>
    <w:rsid w:val="00FB64CC"/>
    <w:rsid w:val="00FE48C4"/>
    <w:rsid w:val="00FE4B64"/>
    <w:rsid w:val="00FF0F74"/>
    <w:rsid w:val="00FF2664"/>
    <w:rsid w:val="02970B95"/>
    <w:rsid w:val="065B165D"/>
    <w:rsid w:val="068B503A"/>
    <w:rsid w:val="080C7B47"/>
    <w:rsid w:val="0B9B65EF"/>
    <w:rsid w:val="0D084A93"/>
    <w:rsid w:val="0F776F2E"/>
    <w:rsid w:val="103D5842"/>
    <w:rsid w:val="14ED6C97"/>
    <w:rsid w:val="15325B0D"/>
    <w:rsid w:val="162C15F1"/>
    <w:rsid w:val="1E100877"/>
    <w:rsid w:val="1FA33F54"/>
    <w:rsid w:val="22F67DEA"/>
    <w:rsid w:val="25AF7D17"/>
    <w:rsid w:val="285829F5"/>
    <w:rsid w:val="298A789B"/>
    <w:rsid w:val="2A070169"/>
    <w:rsid w:val="2A1A3207"/>
    <w:rsid w:val="2C7B0703"/>
    <w:rsid w:val="2D522DB8"/>
    <w:rsid w:val="2D921DA0"/>
    <w:rsid w:val="30D57477"/>
    <w:rsid w:val="31127853"/>
    <w:rsid w:val="31674F39"/>
    <w:rsid w:val="324179CE"/>
    <w:rsid w:val="34165A3C"/>
    <w:rsid w:val="369E3FC2"/>
    <w:rsid w:val="37F95BE9"/>
    <w:rsid w:val="3AC426EA"/>
    <w:rsid w:val="3B3331F9"/>
    <w:rsid w:val="3BDD603C"/>
    <w:rsid w:val="3EDF6FDF"/>
    <w:rsid w:val="400B7F3C"/>
    <w:rsid w:val="42887B6D"/>
    <w:rsid w:val="430E6B8C"/>
    <w:rsid w:val="44396E52"/>
    <w:rsid w:val="452A098B"/>
    <w:rsid w:val="48FF3141"/>
    <w:rsid w:val="49AA7027"/>
    <w:rsid w:val="49E60948"/>
    <w:rsid w:val="4AF30D8E"/>
    <w:rsid w:val="4D205D90"/>
    <w:rsid w:val="4DAA3A72"/>
    <w:rsid w:val="4FDC1D11"/>
    <w:rsid w:val="533D5968"/>
    <w:rsid w:val="53A02ADA"/>
    <w:rsid w:val="541C2484"/>
    <w:rsid w:val="56885F43"/>
    <w:rsid w:val="574A3DDD"/>
    <w:rsid w:val="578365ED"/>
    <w:rsid w:val="57CB4D0C"/>
    <w:rsid w:val="57E748DF"/>
    <w:rsid w:val="5CE50B06"/>
    <w:rsid w:val="64587498"/>
    <w:rsid w:val="653342F0"/>
    <w:rsid w:val="659E1C57"/>
    <w:rsid w:val="66DE1025"/>
    <w:rsid w:val="67B37077"/>
    <w:rsid w:val="68024217"/>
    <w:rsid w:val="686B6E08"/>
    <w:rsid w:val="68D60B0A"/>
    <w:rsid w:val="6BFB01BC"/>
    <w:rsid w:val="6C231C95"/>
    <w:rsid w:val="70971411"/>
    <w:rsid w:val="722D5D83"/>
    <w:rsid w:val="735025C4"/>
    <w:rsid w:val="7DF30332"/>
    <w:rsid w:val="7F3126DF"/>
    <w:rsid w:val="7F5900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99" w:semiHidden="0" w:name="Strong"/>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宋体" w:cs="Tahoma"/>
      <w:sz w:val="22"/>
      <w:szCs w:val="22"/>
      <w:lang w:val="en-US" w:eastAsia="zh-CN" w:bidi="ar-SA"/>
    </w:rPr>
  </w:style>
  <w:style w:type="character" w:default="1" w:styleId="8">
    <w:name w:val="Default Paragraph Font"/>
    <w:semiHidden/>
    <w:uiPriority w:val="99"/>
  </w:style>
  <w:style w:type="table" w:default="1" w:styleId="6">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7"/>
    <w:semiHidden/>
    <w:unhideWhenUsed/>
    <w:qFormat/>
    <w:uiPriority w:val="99"/>
    <w:pPr>
      <w:spacing w:after="0"/>
    </w:pPr>
    <w:rPr>
      <w:sz w:val="18"/>
      <w:szCs w:val="18"/>
    </w:rPr>
  </w:style>
  <w:style w:type="paragraph" w:styleId="3">
    <w:name w:val="footer"/>
    <w:basedOn w:val="1"/>
    <w:link w:val="14"/>
    <w:qFormat/>
    <w:uiPriority w:val="99"/>
    <w:pPr>
      <w:tabs>
        <w:tab w:val="center" w:pos="4153"/>
        <w:tab w:val="right" w:pos="8306"/>
      </w:tabs>
    </w:pPr>
    <w:rPr>
      <w:sz w:val="18"/>
      <w:szCs w:val="18"/>
    </w:rPr>
  </w:style>
  <w:style w:type="paragraph" w:styleId="4">
    <w:name w:val="header"/>
    <w:basedOn w:val="1"/>
    <w:link w:val="12"/>
    <w:qFormat/>
    <w:uiPriority w:val="99"/>
    <w:pPr>
      <w:pBdr>
        <w:bottom w:val="single" w:color="auto" w:sz="6" w:space="1"/>
      </w:pBdr>
      <w:tabs>
        <w:tab w:val="center" w:pos="4153"/>
        <w:tab w:val="right" w:pos="8306"/>
      </w:tabs>
      <w:jc w:val="center"/>
    </w:pPr>
    <w:rPr>
      <w:sz w:val="18"/>
      <w:szCs w:val="18"/>
    </w:rPr>
  </w:style>
  <w:style w:type="paragraph" w:styleId="5">
    <w:name w:val="Normal (Web)"/>
    <w:basedOn w:val="1"/>
    <w:qFormat/>
    <w:uiPriority w:val="99"/>
    <w:pPr>
      <w:adjustRightInd/>
      <w:snapToGrid/>
      <w:spacing w:before="100" w:beforeAutospacing="1" w:after="100" w:afterAutospacing="1"/>
    </w:pPr>
    <w:rPr>
      <w:rFonts w:ascii="宋体" w:hAnsi="宋体" w:cs="宋体"/>
      <w:color w:val="000000"/>
      <w:sz w:val="24"/>
      <w:szCs w:val="24"/>
    </w:rPr>
  </w:style>
  <w:style w:type="table" w:styleId="7">
    <w:name w:val="Table Grid"/>
    <w:basedOn w:val="6"/>
    <w:qFormat/>
    <w:uiPriority w:val="99"/>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9">
    <w:name w:val="Strong"/>
    <w:qFormat/>
    <w:uiPriority w:val="99"/>
    <w:rPr>
      <w:b/>
      <w:bCs/>
    </w:rPr>
  </w:style>
  <w:style w:type="character" w:styleId="10">
    <w:name w:val="page number"/>
    <w:basedOn w:val="8"/>
    <w:qFormat/>
    <w:uiPriority w:val="99"/>
  </w:style>
  <w:style w:type="character" w:styleId="11">
    <w:name w:val="Hyperlink"/>
    <w:qFormat/>
    <w:uiPriority w:val="99"/>
    <w:rPr>
      <w:color w:val="0000FF"/>
      <w:u w:val="single"/>
    </w:rPr>
  </w:style>
  <w:style w:type="character" w:customStyle="1" w:styleId="12">
    <w:name w:val="页眉 Char"/>
    <w:link w:val="4"/>
    <w:qFormat/>
    <w:locked/>
    <w:uiPriority w:val="99"/>
    <w:rPr>
      <w:rFonts w:ascii="Tahoma" w:hAnsi="Tahoma" w:cs="Tahoma"/>
      <w:sz w:val="18"/>
      <w:szCs w:val="18"/>
    </w:rPr>
  </w:style>
  <w:style w:type="character" w:customStyle="1" w:styleId="13">
    <w:name w:val="11111111"/>
    <w:basedOn w:val="8"/>
    <w:qFormat/>
    <w:uiPriority w:val="0"/>
    <w:rPr>
      <w:rFonts w:ascii="仿宋_GB2312" w:hAnsi="仿宋_GB2312" w:eastAsia="仿宋_GB2312"/>
      <w:sz w:val="28"/>
    </w:rPr>
  </w:style>
  <w:style w:type="character" w:customStyle="1" w:styleId="14">
    <w:name w:val="页脚 Char"/>
    <w:link w:val="3"/>
    <w:qFormat/>
    <w:locked/>
    <w:uiPriority w:val="99"/>
    <w:rPr>
      <w:rFonts w:ascii="Tahoma" w:hAnsi="Tahoma" w:cs="Tahoma"/>
      <w:sz w:val="18"/>
      <w:szCs w:val="18"/>
    </w:rPr>
  </w:style>
  <w:style w:type="paragraph" w:customStyle="1" w:styleId="15">
    <w:name w:val="2222222"/>
    <w:basedOn w:val="1"/>
    <w:qFormat/>
    <w:uiPriority w:val="0"/>
    <w:pPr>
      <w:spacing w:after="0" w:line="360" w:lineRule="auto"/>
      <w:ind w:firstLine="560" w:firstLineChars="200"/>
      <w:jc w:val="both"/>
    </w:pPr>
    <w:rPr>
      <w:rFonts w:ascii="仿宋_GB2312" w:hAnsi="仿宋_GB2312" w:eastAsia="仿宋_GB2312" w:cs="仿宋_GB2312"/>
      <w:color w:val="333333"/>
      <w:sz w:val="28"/>
      <w:szCs w:val="28"/>
    </w:rPr>
  </w:style>
  <w:style w:type="paragraph" w:customStyle="1" w:styleId="16">
    <w:name w:val="列出段落1"/>
    <w:basedOn w:val="1"/>
    <w:qFormat/>
    <w:uiPriority w:val="99"/>
    <w:pPr>
      <w:ind w:firstLine="420" w:firstLineChars="200"/>
    </w:pPr>
  </w:style>
  <w:style w:type="character" w:customStyle="1" w:styleId="17">
    <w:name w:val="批注框文本 Char"/>
    <w:basedOn w:val="8"/>
    <w:link w:val="2"/>
    <w:semiHidden/>
    <w:qFormat/>
    <w:uiPriority w:val="99"/>
    <w:rPr>
      <w:rFonts w:ascii="Tahoma" w:hAnsi="Tahoma" w:cs="Tahoma"/>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7</Pages>
  <Words>580</Words>
  <Characters>3312</Characters>
  <Lines>27</Lines>
  <Paragraphs>7</Paragraphs>
  <TotalTime>0</TotalTime>
  <ScaleCrop>false</ScaleCrop>
  <LinksUpToDate>false</LinksUpToDate>
  <CharactersWithSpaces>3885</CharactersWithSpaces>
  <Application>WPS Office_11.1.0.8527_F1E327BC-269C-435d-A152-05C5408002CA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2019-03-05T08:47:00Z</dcterms:created>
  <dc:creator>Administrator</dc:creator>
  <cp:lastModifiedBy>一飞飞飞</cp:lastModifiedBy>
  <cp:lastPrinted>2016-03-20T14:24:00Z</cp:lastPrinted>
  <dcterms:modified xsi:type="dcterms:W3CDTF">2019-03-20T02:05:03Z</dcterms:modified>
  <dc:title>佛山市南海区妇幼保健院</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