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default" w:ascii="仿宋_GB2312" w:hAnsi="Arial" w:eastAsia="仿宋_GB2312" w:cs="Arial"/>
          <w:color w:val="000000"/>
          <w:kern w:val="0"/>
          <w:sz w:val="32"/>
          <w:szCs w:val="32"/>
          <w:lang w:val="en-US" w:eastAsia="zh-CN"/>
        </w:rPr>
      </w:pPr>
      <w:r>
        <w:rPr>
          <w:rFonts w:hint="eastAsia" w:ascii="仿宋_GB2312" w:hAnsi="Arial" w:eastAsia="仿宋_GB2312" w:cs="Arial"/>
          <w:color w:val="000000"/>
          <w:kern w:val="0"/>
          <w:sz w:val="32"/>
          <w:szCs w:val="32"/>
          <w:lang w:eastAsia="zh-CN"/>
        </w:rPr>
        <w:t>附件</w:t>
      </w:r>
      <w:r>
        <w:rPr>
          <w:rFonts w:hint="eastAsia" w:ascii="仿宋_GB2312" w:hAnsi="Arial" w:eastAsia="仿宋_GB2312" w:cs="Arial"/>
          <w:color w:val="000000"/>
          <w:kern w:val="0"/>
          <w:sz w:val="32"/>
          <w:szCs w:val="32"/>
          <w:lang w:val="en-US" w:eastAsia="zh-CN"/>
        </w:rPr>
        <w:t>3：</w:t>
      </w:r>
      <w:bookmarkStart w:id="0" w:name="_GoBack"/>
      <w:bookmarkEnd w:id="0"/>
    </w:p>
    <w:p>
      <w:pPr>
        <w:widowControl/>
        <w:spacing w:line="600" w:lineRule="atLeast"/>
        <w:jc w:val="center"/>
        <w:rPr>
          <w:rFonts w:ascii="Arial" w:hAnsi="Arial" w:eastAsia="宋体" w:cs="Arial"/>
          <w:color w:val="000000"/>
          <w:kern w:val="0"/>
          <w:szCs w:val="21"/>
        </w:rPr>
      </w:pPr>
      <w:r>
        <w:rPr>
          <w:rFonts w:hint="eastAsia" w:ascii="方正小标宋简体" w:hAnsi="Arial" w:eastAsia="方正小标宋简体" w:cs="Arial"/>
          <w:color w:val="000000"/>
          <w:kern w:val="0"/>
          <w:sz w:val="44"/>
          <w:szCs w:val="44"/>
        </w:rPr>
        <w:t>2019年上半年广东省江门市江海区</w:t>
      </w:r>
    </w:p>
    <w:p>
      <w:pPr>
        <w:widowControl/>
        <w:spacing w:line="600" w:lineRule="atLeast"/>
        <w:jc w:val="center"/>
        <w:rPr>
          <w:rFonts w:ascii="Arial" w:hAnsi="Arial" w:eastAsia="宋体" w:cs="Arial"/>
          <w:color w:val="000000"/>
          <w:kern w:val="0"/>
          <w:szCs w:val="21"/>
        </w:rPr>
      </w:pPr>
      <w:r>
        <w:rPr>
          <w:rFonts w:hint="eastAsia" w:ascii="方正小标宋简体" w:hAnsi="Arial" w:eastAsia="方正小标宋简体" w:cs="Arial"/>
          <w:color w:val="000000"/>
          <w:kern w:val="0"/>
          <w:sz w:val="44"/>
          <w:szCs w:val="44"/>
        </w:rPr>
        <w:t>教师公开招聘公告</w:t>
      </w:r>
    </w:p>
    <w:p>
      <w:pPr>
        <w:widowControl/>
        <w:spacing w:line="600" w:lineRule="atLeast"/>
        <w:jc w:val="center"/>
        <w:rPr>
          <w:rFonts w:ascii="Arial" w:hAnsi="Arial" w:eastAsia="宋体" w:cs="Arial"/>
          <w:color w:val="000000"/>
          <w:kern w:val="0"/>
          <w:szCs w:val="21"/>
        </w:rPr>
      </w:pPr>
      <w:r>
        <w:rPr>
          <w:rFonts w:hint="eastAsia" w:ascii="仿宋_GB2312" w:hAnsi="Arial" w:eastAsia="仿宋_GB2312" w:cs="Arial"/>
          <w:color w:val="000000"/>
          <w:kern w:val="0"/>
          <w:sz w:val="32"/>
          <w:szCs w:val="32"/>
        </w:rPr>
        <w:t> </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根据《广东省事业单位公开招聘人员办法》（省政府令第139号）和江门市委组织部、江门市人社局《关于印发〈江门市事业单位公开招聘人员实施意见〉的通知》（江人社发〔2010〕573号）精神，现就2019年上半年江门市江海区教师公开招聘有关事项公告如下：</w:t>
      </w:r>
    </w:p>
    <w:p>
      <w:pPr>
        <w:widowControl/>
        <w:shd w:val="clear" w:color="auto" w:fill="FFFFFF"/>
        <w:spacing w:line="600" w:lineRule="exact"/>
        <w:ind w:firstLine="600"/>
        <w:jc w:val="left"/>
        <w:rPr>
          <w:rFonts w:ascii="Arial" w:hAnsi="Arial" w:eastAsia="宋体" w:cs="Arial"/>
          <w:color w:val="000000"/>
          <w:kern w:val="0"/>
          <w:szCs w:val="21"/>
        </w:rPr>
      </w:pPr>
      <w:r>
        <w:rPr>
          <w:rFonts w:hint="eastAsia" w:ascii="黑体" w:hAnsi="黑体" w:eastAsia="黑体" w:cs="Arial"/>
          <w:color w:val="000000"/>
          <w:kern w:val="0"/>
          <w:sz w:val="32"/>
          <w:szCs w:val="32"/>
        </w:rPr>
        <w:t>一、招聘岗位及招聘人数</w:t>
      </w:r>
    </w:p>
    <w:p>
      <w:pPr>
        <w:widowControl/>
        <w:shd w:val="clear" w:color="auto" w:fill="FFFFFF"/>
        <w:spacing w:line="600" w:lineRule="exact"/>
        <w:ind w:firstLine="600"/>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本次公开招聘中小学教师</w:t>
      </w:r>
      <w:r>
        <w:rPr>
          <w:rFonts w:hint="eastAsia" w:ascii="仿宋_GB2312" w:hAnsi="Arial" w:eastAsia="仿宋_GB2312" w:cs="Arial"/>
          <w:b/>
          <w:bCs/>
          <w:color w:val="000000"/>
          <w:kern w:val="0"/>
          <w:sz w:val="32"/>
          <w:szCs w:val="32"/>
        </w:rPr>
        <w:t>130</w:t>
      </w:r>
      <w:r>
        <w:rPr>
          <w:rFonts w:hint="eastAsia" w:ascii="仿宋_GB2312" w:hAnsi="Arial" w:eastAsia="仿宋_GB2312" w:cs="Arial"/>
          <w:color w:val="000000"/>
          <w:kern w:val="0"/>
          <w:sz w:val="32"/>
          <w:szCs w:val="32"/>
        </w:rPr>
        <w:t>名，具体招聘岗位详见附件1《2019年上半年广东省江门市江海区教师公开招聘岗位表》。</w:t>
      </w:r>
    </w:p>
    <w:p>
      <w:pPr>
        <w:widowControl/>
        <w:shd w:val="clear" w:color="auto" w:fill="FFFFFF"/>
        <w:spacing w:line="600" w:lineRule="exact"/>
        <w:ind w:firstLine="600"/>
        <w:jc w:val="left"/>
        <w:rPr>
          <w:rFonts w:ascii="Arial" w:hAnsi="Arial" w:eastAsia="宋体" w:cs="Arial"/>
          <w:color w:val="000000"/>
          <w:kern w:val="0"/>
          <w:szCs w:val="21"/>
        </w:rPr>
      </w:pPr>
      <w:r>
        <w:rPr>
          <w:rFonts w:hint="eastAsia" w:ascii="黑体" w:hAnsi="黑体" w:eastAsia="黑体" w:cs="Arial"/>
          <w:color w:val="000000"/>
          <w:kern w:val="0"/>
          <w:sz w:val="32"/>
          <w:szCs w:val="32"/>
        </w:rPr>
        <w:t>二、招聘对象及资格条件</w:t>
      </w:r>
    </w:p>
    <w:p>
      <w:pPr>
        <w:widowControl/>
        <w:shd w:val="clear" w:color="auto" w:fill="FFFFFF"/>
        <w:spacing w:line="600" w:lineRule="exact"/>
        <w:ind w:firstLine="600"/>
        <w:jc w:val="left"/>
        <w:rPr>
          <w:rFonts w:ascii="Arial" w:hAnsi="Arial" w:eastAsia="宋体" w:cs="Arial"/>
          <w:color w:val="000000"/>
          <w:kern w:val="0"/>
          <w:szCs w:val="21"/>
        </w:rPr>
      </w:pPr>
      <w:r>
        <w:rPr>
          <w:rFonts w:hint="eastAsia" w:ascii="楷体_GB2312" w:hAnsi="Arial" w:eastAsia="楷体_GB2312" w:cs="Arial"/>
          <w:b/>
          <w:bCs/>
          <w:color w:val="000000"/>
          <w:kern w:val="0"/>
          <w:sz w:val="32"/>
          <w:szCs w:val="32"/>
        </w:rPr>
        <w:t>（一）招聘对象</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本次招聘的对象为满足以下条件之一的应届毕业生及社会人员：</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1.全日制本科985、211院校及42所双一流大学毕业人员(具体院校名单详见附件2)；</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2.高水平师范院校全日制本科毕业生（具体院校名单见附件2）；</w:t>
      </w:r>
    </w:p>
    <w:p>
      <w:pPr>
        <w:widowControl/>
        <w:spacing w:line="600" w:lineRule="exact"/>
        <w:ind w:left="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3.全日制研究生学历硕士学位人员；</w:t>
      </w:r>
    </w:p>
    <w:p>
      <w:pPr>
        <w:widowControl/>
        <w:spacing w:line="600" w:lineRule="exact"/>
        <w:ind w:left="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4.本科学历且具有中小学校教师副高及以上职称人员。</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报考人员须于2019年8月31日以前取得招聘岗位要求的毕业证书、学位证书、专业技术资格证书和教师资格证书等。</w:t>
      </w:r>
    </w:p>
    <w:p>
      <w:pPr>
        <w:widowControl/>
        <w:shd w:val="clear" w:color="auto" w:fill="FFFFFF"/>
        <w:spacing w:line="600" w:lineRule="exact"/>
        <w:ind w:firstLine="600"/>
        <w:jc w:val="left"/>
        <w:rPr>
          <w:rFonts w:ascii="Arial" w:hAnsi="Arial" w:eastAsia="宋体" w:cs="Arial"/>
          <w:color w:val="000000"/>
          <w:kern w:val="0"/>
          <w:szCs w:val="21"/>
        </w:rPr>
      </w:pPr>
      <w:r>
        <w:rPr>
          <w:rFonts w:hint="eastAsia" w:ascii="楷体_GB2312" w:hAnsi="Arial" w:eastAsia="楷体_GB2312" w:cs="Arial"/>
          <w:b/>
          <w:bCs/>
          <w:color w:val="000000"/>
          <w:kern w:val="0"/>
          <w:sz w:val="32"/>
          <w:szCs w:val="32"/>
        </w:rPr>
        <w:t>（二）资格条件</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1.具有中华人民共和国国籍，享有公民政治权利，遵守中华人民共和国宪法和法律；</w:t>
      </w:r>
    </w:p>
    <w:p>
      <w:pPr>
        <w:widowControl/>
        <w:shd w:val="clear" w:color="auto" w:fill="FFFFFF"/>
        <w:spacing w:line="600" w:lineRule="exact"/>
        <w:ind w:firstLine="600"/>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2.具备良好的品行和职业道德；</w:t>
      </w:r>
    </w:p>
    <w:p>
      <w:pPr>
        <w:widowControl/>
        <w:shd w:val="clear" w:color="auto" w:fill="FFFFFF"/>
        <w:spacing w:line="600" w:lineRule="exact"/>
        <w:ind w:firstLine="600"/>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3.适应岗位要求的身体条件，身体状况符合《广东省教师资格申请人员体格检查标准》，无精神病史；</w:t>
      </w:r>
    </w:p>
    <w:p>
      <w:pPr>
        <w:widowControl/>
        <w:shd w:val="clear" w:color="auto" w:fill="FFFFFF"/>
        <w:spacing w:line="600" w:lineRule="exact"/>
        <w:ind w:firstLine="600"/>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4.符合国家计划生育规定；</w:t>
      </w:r>
    </w:p>
    <w:p>
      <w:pPr>
        <w:widowControl/>
        <w:shd w:val="clear" w:color="auto" w:fill="FFFFFF"/>
        <w:spacing w:line="600" w:lineRule="exact"/>
        <w:ind w:firstLine="600"/>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5.具备岗位所需的专业、能力或者技能条件，以及招聘岗位所需的其他资格条件（详见附件1）；</w:t>
      </w:r>
    </w:p>
    <w:p>
      <w:pPr>
        <w:widowControl/>
        <w:shd w:val="clear" w:color="auto" w:fill="FFFFFF"/>
        <w:spacing w:line="600" w:lineRule="exact"/>
        <w:ind w:firstLine="600"/>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6.年龄要求:35岁以下（即1984年1月1日后出生），具有教师副高及以上职称的报考人员年龄放宽到40岁以下（即1979年1月1日后出生）。</w:t>
      </w:r>
    </w:p>
    <w:p>
      <w:pPr>
        <w:widowControl/>
        <w:shd w:val="clear" w:color="auto" w:fill="FFFFFF"/>
        <w:spacing w:line="600" w:lineRule="exact"/>
        <w:ind w:firstLine="600"/>
        <w:jc w:val="left"/>
        <w:rPr>
          <w:rFonts w:ascii="Arial" w:hAnsi="Arial" w:eastAsia="宋体" w:cs="Arial"/>
          <w:color w:val="000000"/>
          <w:kern w:val="0"/>
          <w:szCs w:val="21"/>
        </w:rPr>
      </w:pPr>
      <w:r>
        <w:rPr>
          <w:rFonts w:hint="eastAsia" w:ascii="楷体_GB2312" w:hAnsi="Arial" w:eastAsia="楷体_GB2312" w:cs="Arial"/>
          <w:b/>
          <w:bCs/>
          <w:color w:val="000000"/>
          <w:kern w:val="0"/>
          <w:sz w:val="32"/>
          <w:szCs w:val="32"/>
        </w:rPr>
        <w:t>（三）其他</w:t>
      </w:r>
    </w:p>
    <w:p>
      <w:pPr>
        <w:widowControl/>
        <w:shd w:val="clear" w:color="auto" w:fill="FFFFFF"/>
        <w:spacing w:line="600" w:lineRule="exact"/>
        <w:ind w:firstLine="600"/>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1.招聘公告所列资格条件为最低条件，凡资格条件高于公告规定要求者均可报名；</w:t>
      </w:r>
    </w:p>
    <w:p>
      <w:pPr>
        <w:widowControl/>
        <w:shd w:val="clear" w:color="auto" w:fill="FFFFFF"/>
        <w:spacing w:line="600" w:lineRule="exact"/>
        <w:ind w:firstLine="600"/>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2.公办中小学在职在编人员报考的必须提供学校所在地教育主管部门同意报考并加盖公章的证明原件。定向生、委培生报名的，须征得现工作单位或定向、委培单位及所在院校同意，必须提供加盖公章的同意报考证明原件；</w:t>
      </w:r>
    </w:p>
    <w:p>
      <w:pPr>
        <w:widowControl/>
        <w:shd w:val="clear" w:color="auto" w:fill="FFFFFF"/>
        <w:spacing w:line="600" w:lineRule="exact"/>
        <w:ind w:firstLine="600"/>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3.不得报考聘用后即构成回避关系的岗位；</w:t>
      </w:r>
    </w:p>
    <w:p>
      <w:pPr>
        <w:widowControl/>
        <w:shd w:val="clear" w:color="auto" w:fill="FFFFFF"/>
        <w:spacing w:line="600" w:lineRule="exact"/>
        <w:ind w:firstLine="600"/>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4.以下人员不得报名应聘：尚未解除纪律处分或因涉嫌违法违纪正在接受审计、纪律审查的人员；受行政开除处分未满五年，或被机关事业单位辞退（单方面解聘）未满5年的人员；曾因犯罪受到刑事处罚，或涉嫌犯罪正在接受调查、司法程序尚未终结的人员；曾因超生被有关单位依照《广东省人口与计划生育条例》规定作出处理决定的人员；在各级机关、事业单位招录（聘）考试、体检或考察中被认定有舞弊等严重违反录用纪律行为的人员；在事业单位公开招聘中违约、不守承诺的人员；其他法律、法规规定不得应聘的人员；</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5.服从组织分配；</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6.“应届毕业生”是指2019年毕业的全日制普通高等学校毕业生（不含2018年及之前已办理暂缓就业人员）。“社会人员”是指除应届毕业生外，已取得国家承认学历的人员。港澳学习、留学归国人员报名的，报名时毕业未满1年的视为应届毕业生，已满1年的视为社会人员；</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7. 专业、学历、学位要求：报考人员应具备招聘岗位所要求专业的学历学位，用符合招聘岗位条件的学历专业报考，报考人员所学专业按所获毕业证书上的专业名称为准。“专业要求”如设定到学科二级以上类目（2位或4位代码）或“目录外XXX相关专业”的，类目界定按《广东省2018年考试录用公务员专业参考目录》（见附件6）执行，目录未列入的专业，可根据目录中相近学科确定学科类别。</w:t>
      </w:r>
    </w:p>
    <w:p>
      <w:pPr>
        <w:widowControl/>
        <w:shd w:val="clear" w:color="auto" w:fill="FFFFFF"/>
        <w:spacing w:line="600" w:lineRule="exact"/>
        <w:ind w:firstLine="600"/>
        <w:jc w:val="left"/>
        <w:rPr>
          <w:rFonts w:ascii="Arial" w:hAnsi="Arial" w:eastAsia="宋体" w:cs="Arial"/>
          <w:color w:val="000000"/>
          <w:kern w:val="0"/>
          <w:szCs w:val="21"/>
        </w:rPr>
      </w:pPr>
      <w:r>
        <w:rPr>
          <w:rFonts w:hint="eastAsia" w:ascii="黑体" w:hAnsi="黑体" w:eastAsia="黑体" w:cs="Arial"/>
          <w:b/>
          <w:bCs/>
          <w:color w:val="000000"/>
          <w:kern w:val="0"/>
          <w:sz w:val="32"/>
          <w:szCs w:val="32"/>
        </w:rPr>
        <w:t>三、招聘时间及方式</w:t>
      </w:r>
    </w:p>
    <w:p>
      <w:pPr>
        <w:widowControl/>
        <w:spacing w:line="600" w:lineRule="exact"/>
        <w:ind w:firstLine="645"/>
        <w:jc w:val="left"/>
        <w:rPr>
          <w:rFonts w:ascii="Arial" w:hAnsi="Arial" w:eastAsia="宋体" w:cs="Arial"/>
          <w:color w:val="000000"/>
          <w:kern w:val="0"/>
          <w:szCs w:val="21"/>
        </w:rPr>
      </w:pPr>
      <w:r>
        <w:rPr>
          <w:rFonts w:hint="eastAsia" w:ascii="楷体_GB2312" w:hAnsi="Arial" w:eastAsia="楷体_GB2312" w:cs="Arial"/>
          <w:b/>
          <w:bCs/>
          <w:color w:val="000000"/>
          <w:kern w:val="0"/>
          <w:sz w:val="32"/>
          <w:szCs w:val="32"/>
        </w:rPr>
        <w:t>（一）招聘时间：</w:t>
      </w:r>
      <w:r>
        <w:rPr>
          <w:rFonts w:hint="eastAsia" w:ascii="仿宋_GB2312" w:hAnsi="Arial" w:eastAsia="仿宋_GB2312" w:cs="Arial"/>
          <w:color w:val="000000"/>
          <w:kern w:val="0"/>
          <w:sz w:val="32"/>
          <w:szCs w:val="32"/>
        </w:rPr>
        <w:t>2019年2月-6月。</w:t>
      </w:r>
    </w:p>
    <w:p>
      <w:pPr>
        <w:widowControl/>
        <w:spacing w:line="600" w:lineRule="exact"/>
        <w:ind w:firstLine="645"/>
        <w:jc w:val="left"/>
        <w:rPr>
          <w:rFonts w:ascii="Arial" w:hAnsi="Arial" w:eastAsia="宋体" w:cs="Arial"/>
          <w:color w:val="000000"/>
          <w:kern w:val="0"/>
          <w:szCs w:val="21"/>
        </w:rPr>
      </w:pPr>
      <w:r>
        <w:rPr>
          <w:rFonts w:hint="eastAsia" w:ascii="楷体_GB2312" w:hAnsi="Arial" w:eastAsia="楷体_GB2312" w:cs="Arial"/>
          <w:b/>
          <w:bCs/>
          <w:color w:val="000000"/>
          <w:kern w:val="0"/>
          <w:sz w:val="32"/>
          <w:szCs w:val="32"/>
        </w:rPr>
        <w:t>（二）招聘方式：</w:t>
      </w:r>
      <w:r>
        <w:rPr>
          <w:rFonts w:hint="eastAsia" w:ascii="仿宋_GB2312" w:hAnsi="Arial" w:eastAsia="仿宋_GB2312" w:cs="Arial"/>
          <w:color w:val="000000"/>
          <w:kern w:val="0"/>
          <w:sz w:val="32"/>
          <w:szCs w:val="32"/>
        </w:rPr>
        <w:t>实行常规持续招聘，自发布公告之日起至6月14日，接受网上报名，根据审核资料后符合报名条件人数达20人及以上，分阶段开展现场确认和考试、体检、政审等工作。招聘实行额满即止，即同一岗位招满后，将不再参与下一阶段招聘，具体招聘岗位调整情况于下一场面试前公布。</w:t>
      </w:r>
    </w:p>
    <w:p>
      <w:pPr>
        <w:widowControl/>
        <w:spacing w:line="600" w:lineRule="exact"/>
        <w:ind w:firstLine="645"/>
        <w:jc w:val="left"/>
        <w:rPr>
          <w:rFonts w:ascii="Arial" w:hAnsi="Arial" w:eastAsia="宋体" w:cs="Arial"/>
          <w:color w:val="000000"/>
          <w:kern w:val="0"/>
          <w:szCs w:val="21"/>
        </w:rPr>
      </w:pPr>
      <w:r>
        <w:rPr>
          <w:rFonts w:hint="eastAsia" w:ascii="黑体" w:hAnsi="黑体" w:eastAsia="黑体" w:cs="Arial"/>
          <w:b/>
          <w:bCs/>
          <w:color w:val="000000"/>
          <w:kern w:val="0"/>
          <w:sz w:val="32"/>
          <w:szCs w:val="32"/>
        </w:rPr>
        <w:t>四、招聘程序及办法</w:t>
      </w:r>
    </w:p>
    <w:p>
      <w:pPr>
        <w:widowControl/>
        <w:spacing w:line="600" w:lineRule="exact"/>
        <w:ind w:firstLine="645"/>
        <w:jc w:val="left"/>
        <w:rPr>
          <w:rFonts w:ascii="Arial" w:hAnsi="Arial" w:eastAsia="宋体" w:cs="Arial"/>
          <w:color w:val="000000"/>
          <w:kern w:val="0"/>
          <w:szCs w:val="21"/>
        </w:rPr>
      </w:pPr>
      <w:r>
        <w:rPr>
          <w:rFonts w:hint="eastAsia" w:ascii="楷体_GB2312" w:hAnsi="Arial" w:eastAsia="楷体_GB2312" w:cs="Arial"/>
          <w:b/>
          <w:bCs/>
          <w:color w:val="000000"/>
          <w:kern w:val="0"/>
          <w:sz w:val="32"/>
          <w:szCs w:val="32"/>
        </w:rPr>
        <w:t>（一）招聘信息发布及查询</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涉及本次招聘的所有信息均通过以下网站发布：</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1.江门高新区（江海区）政务信息网组织部——</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http://www.jianghai.gov.cn/bwbj/zzbbb_147036/</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2.江门高新区（江海区）政务信息网教育局——</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http://www.jianghai.gov.cn/bwbj/jyj_147091/</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请考生及时、主动登录查询。</w:t>
      </w:r>
    </w:p>
    <w:p>
      <w:pPr>
        <w:widowControl/>
        <w:spacing w:line="600" w:lineRule="exact"/>
        <w:ind w:firstLine="645"/>
        <w:jc w:val="left"/>
        <w:rPr>
          <w:rFonts w:ascii="Arial" w:hAnsi="Arial" w:eastAsia="宋体" w:cs="Arial"/>
          <w:color w:val="000000"/>
          <w:kern w:val="0"/>
          <w:szCs w:val="21"/>
        </w:rPr>
      </w:pPr>
      <w:r>
        <w:rPr>
          <w:rFonts w:hint="eastAsia" w:ascii="楷体_GB2312" w:hAnsi="Arial" w:eastAsia="楷体_GB2312" w:cs="Arial"/>
          <w:b/>
          <w:bCs/>
          <w:color w:val="000000"/>
          <w:kern w:val="0"/>
          <w:sz w:val="32"/>
          <w:szCs w:val="32"/>
        </w:rPr>
        <w:t>（二）报考办法</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报名采用先网上报名，后现场确认报名的方式。</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网上报名并符合招聘条件人数达到20人及以上的，分阶段进行现场确认，现场确认前通知已网上报名且通过资格初审的考生。</w:t>
      </w:r>
    </w:p>
    <w:p>
      <w:pPr>
        <w:widowControl/>
        <w:spacing w:line="600" w:lineRule="exact"/>
        <w:ind w:firstLine="645"/>
        <w:jc w:val="left"/>
        <w:rPr>
          <w:rFonts w:ascii="Arial" w:hAnsi="Arial" w:eastAsia="宋体" w:cs="Arial"/>
          <w:color w:val="000000"/>
          <w:kern w:val="0"/>
          <w:szCs w:val="21"/>
        </w:rPr>
      </w:pPr>
      <w:r>
        <w:rPr>
          <w:rFonts w:hint="eastAsia" w:ascii="楷体_GB2312" w:hAnsi="Arial" w:eastAsia="楷体_GB2312" w:cs="Arial"/>
          <w:b/>
          <w:bCs/>
          <w:color w:val="000000"/>
          <w:kern w:val="0"/>
          <w:sz w:val="32"/>
          <w:szCs w:val="32"/>
        </w:rPr>
        <w:t>1．网上填表报名</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从公告发布之日起至2019年6月14日下午16:00 ，考生自行前往江门高新区（江海区）政务信息网教育局（http://www.jianghai.gov.cn/bwbj/jyj_147091/）下载《江门市江海区事业单位公开招聘人员报名表》(附件4)和《应聘人员信息表》（附件5），填写相关内容，并将附电子照片的报名表、信息表及报名所需相关证明材料电子版（可扫描、拍照，须确保清晰）打包发送电子邮件至jhjyrs@163.com。邮件的命名格式统一为：“招聘教师+招聘岗位+姓名”，如：招聘教师+小学英语+张三。</w:t>
      </w:r>
    </w:p>
    <w:p>
      <w:pPr>
        <w:widowControl/>
        <w:spacing w:line="600" w:lineRule="exact"/>
        <w:ind w:firstLine="645"/>
        <w:jc w:val="left"/>
        <w:rPr>
          <w:rFonts w:ascii="Arial" w:hAnsi="Arial" w:eastAsia="宋体" w:cs="Arial"/>
          <w:color w:val="000000"/>
          <w:kern w:val="0"/>
          <w:szCs w:val="21"/>
        </w:rPr>
      </w:pPr>
      <w:r>
        <w:rPr>
          <w:rFonts w:hint="eastAsia" w:ascii="楷体_GB2312" w:hAnsi="Arial" w:eastAsia="楷体_GB2312" w:cs="Arial"/>
          <w:b/>
          <w:bCs/>
          <w:color w:val="000000"/>
          <w:kern w:val="0"/>
          <w:sz w:val="32"/>
          <w:szCs w:val="32"/>
        </w:rPr>
        <w:t>2．现场确认报名</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1）2019年第一场现场确认报名和资格审核时间和地点：时间初定3月2日（星期六）9:00-16:00（具体以另行公告或电话通知为准），地点江门市江海区银泉小学（江门市江海区江翠路209号）。报名最终以现场确认为准。其他场次另行公告。</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2）现场确认程序：考生本人须到现场确认。考生须用A4纸将报名表和报名资料复印件一式一份按顺序排列装订。报名所用相关证件须提供原件用于现场查验。提供的资料必须真实，如发现提供虚假资料的取消报考及聘用资格。</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（3）现场审核资料合格后，当场发放准考证，考生凭准考证、身份证参加考试。</w:t>
      </w:r>
    </w:p>
    <w:p>
      <w:pPr>
        <w:widowControl/>
        <w:spacing w:line="600" w:lineRule="exact"/>
        <w:ind w:firstLine="645"/>
        <w:jc w:val="left"/>
        <w:rPr>
          <w:rFonts w:ascii="Arial" w:hAnsi="Arial" w:eastAsia="宋体" w:cs="Arial"/>
          <w:color w:val="000000"/>
          <w:kern w:val="0"/>
          <w:szCs w:val="21"/>
        </w:rPr>
      </w:pPr>
      <w:r>
        <w:rPr>
          <w:rFonts w:hint="eastAsia" w:ascii="楷体_GB2312" w:hAnsi="Arial" w:eastAsia="楷体_GB2312" w:cs="Arial"/>
          <w:b/>
          <w:bCs/>
          <w:color w:val="000000"/>
          <w:kern w:val="0"/>
          <w:sz w:val="32"/>
          <w:szCs w:val="32"/>
        </w:rPr>
        <w:t>（三）报名要求</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1.考生只能选择一个岗位进行报名，考生必须凭有效期内的第二代居民身份证（或临时居民身份证）报名，参加考试和体检时使用的身份证必须一致。遗失本人有效居民身份证的考生，需及时到公安部门补办临时身份证。其他证件不能代替居民身份证。</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2.考生应在认真阅读招聘公告基础上，如实、全面、准确地填写报名登记表。“学习和工作经历”栏目应从高中起按时间先后顺序填写起始年月、地点、单位及职务，大学期间的学习经历须填写清楚学校、院系、专业名称。为方便用人单位审核是否构成回避关系职位，“家庭成员及主要社会关系”栏不得漏填。如应聘者提供虚假材料，伪造、变造有关证件、材料、信息骗取应聘资格，或为“试考”虚假报名，恶意注册报名信息扰乱报名秩序、浪费国家资源的，一经查实，取消应聘资格。涉嫌犯罪的，移送司法机关处理。</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3.报名须提交相关资料的原件及复印件，具体资料如下：</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1）应届毕业的考生须提供以下材料的原件和复印件，原件查验后交回考生：报名表（使用A4纸双面打印并粘贴照片）；内地居民身份证;就业推荐表（须附有学校教导处盖印的各科成绩表）;教师资格证或教育学和教育心理学成绩单（考试成绩要合格以上）;普通话测试水平证以及符合报名资格规定的相关证书;学历为研究生的，还须提供本科阶段的毕业证和学位证书原件和复印件。</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2）非应届毕业的考生须提供以下材料的原件和复印件，原件查验后交回考生：报名表（使用A4纸双面打印并粘贴照片）；内地居民身份证；学历证书、学位证书；教师资格证；普通话测试水平证以及符合报名资格规定的相关证书和证明。学历为研究生的，还须提供本科阶段的毕业证和学位证书原件和复印件。若为公办学校在编人员的，报名确认时还须提供教育主管部门同意报考的证明。</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4.需要证明师范生的，须提供师范生证明材料。师范生证明材料包括以下几种方式：（1）毕业证上的专业名称后注明“师范”或“教育方向”；（2）报名使用专业所就读学校出具的 “所读**专业为师范专业”的证明并提供成绩单作为佐证；（3）学校出具的成绩单（盖有学校或学院公章）表头陈述考生专业名称时注明“师范”或“教育方向”；（4）毕业生就业推荐表学校推荐意见栏对考生的师范类属性作出描述。</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5.应聘者为港澳学习、留学归国人员的，还须提供教育部中国留学服务中心境外学历、学位认证书及我驻外使领馆开具的证明材料。</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（四）报名工作由江海区教育局具体负责，招聘公告未尽事宜由江海区教育局负责解释。</w:t>
      </w:r>
    </w:p>
    <w:p>
      <w:pPr>
        <w:widowControl/>
        <w:spacing w:line="600" w:lineRule="exact"/>
        <w:ind w:firstLine="645"/>
        <w:jc w:val="left"/>
        <w:rPr>
          <w:rFonts w:ascii="Arial" w:hAnsi="Arial" w:eastAsia="宋体" w:cs="Arial"/>
          <w:color w:val="000000"/>
          <w:kern w:val="0"/>
          <w:szCs w:val="21"/>
        </w:rPr>
      </w:pPr>
      <w:r>
        <w:rPr>
          <w:rFonts w:hint="eastAsia" w:ascii="黑体" w:hAnsi="黑体" w:eastAsia="黑体" w:cs="Arial"/>
          <w:color w:val="000000"/>
          <w:kern w:val="0"/>
          <w:sz w:val="32"/>
          <w:szCs w:val="32"/>
        </w:rPr>
        <w:t>五、</w:t>
      </w:r>
      <w:r>
        <w:rPr>
          <w:rFonts w:hint="eastAsia" w:ascii="黑体" w:hAnsi="黑体" w:eastAsia="黑体" w:cs="Arial"/>
          <w:b/>
          <w:bCs/>
          <w:color w:val="000000"/>
          <w:kern w:val="0"/>
          <w:sz w:val="32"/>
          <w:szCs w:val="32"/>
        </w:rPr>
        <w:t>考试</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考试形式为面试（其中报考信息技术、音乐、美术、体育岗位的考生须增加专业技能测试）。</w:t>
      </w:r>
    </w:p>
    <w:p>
      <w:pPr>
        <w:widowControl/>
        <w:spacing w:line="600" w:lineRule="exact"/>
        <w:ind w:firstLine="645"/>
        <w:jc w:val="left"/>
        <w:rPr>
          <w:rFonts w:ascii="Arial" w:hAnsi="Arial" w:eastAsia="宋体" w:cs="Arial"/>
          <w:color w:val="000000"/>
          <w:kern w:val="0"/>
          <w:szCs w:val="21"/>
        </w:rPr>
      </w:pPr>
      <w:r>
        <w:rPr>
          <w:rFonts w:hint="eastAsia" w:ascii="楷体_GB2312" w:hAnsi="Arial" w:eastAsia="楷体_GB2312" w:cs="Arial"/>
          <w:b/>
          <w:bCs/>
          <w:color w:val="000000"/>
          <w:kern w:val="0"/>
          <w:sz w:val="32"/>
          <w:szCs w:val="32"/>
        </w:rPr>
        <w:t>（一）考试时间、地点</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第一场考试时间初定3月3日（星期日）上午9:00（具体以另行公告或电话通知为准），考试地点江门市江海区银泉小学（江门市江海区江翠路209号）。考生应按准考证上的要求，携带身份证、准考证于考试开始时间前30分钟到达候考室抽签决定考试分组和顺序，参加考试。不在规定时间内到达候考室的，视为放弃。</w:t>
      </w:r>
    </w:p>
    <w:p>
      <w:pPr>
        <w:widowControl/>
        <w:spacing w:line="600" w:lineRule="exact"/>
        <w:ind w:firstLine="645"/>
        <w:jc w:val="left"/>
        <w:rPr>
          <w:rFonts w:ascii="Arial" w:hAnsi="Arial" w:eastAsia="宋体" w:cs="Arial"/>
          <w:color w:val="000000"/>
          <w:kern w:val="0"/>
          <w:szCs w:val="21"/>
        </w:rPr>
      </w:pPr>
      <w:r>
        <w:rPr>
          <w:rFonts w:hint="eastAsia" w:ascii="楷体_GB2312" w:hAnsi="Arial" w:eastAsia="楷体_GB2312" w:cs="Arial"/>
          <w:b/>
          <w:bCs/>
          <w:color w:val="000000"/>
          <w:kern w:val="0"/>
          <w:sz w:val="32"/>
          <w:szCs w:val="32"/>
        </w:rPr>
        <w:t>（二）组织实施</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考试由江海区委组织部和江海区教育局共同组织实施。</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1.小学语文、小学数学、小学英语、小学科学、中学语文、中学数学、中学英语、中学政治、中学历史、中学地理、中学物理、中学化学等12个科目的面试形式为“模拟教学”，即面对评委上课，模拟教学内容为与竞聘职位相关科目的教学内容，现场提供相应教材，不得自带参考资料、电子设备、教具等进行备课和模拟教学。各学科考生的备课时间为15分钟，上课时间为15分钟。</w:t>
      </w:r>
    </w:p>
    <w:p>
      <w:pPr>
        <w:widowControl/>
        <w:spacing w:line="600" w:lineRule="exact"/>
        <w:ind w:firstLine="645"/>
        <w:jc w:val="left"/>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2.小学音乐、小学美术、中小学体育、中小学信息技术等4个科目的面试形式为“模拟教学+技能测试”。考生先参加模拟教学，结束后进行技能测试。技能测试具体要求见下表：</w:t>
      </w:r>
    </w:p>
    <w:p>
      <w:pPr>
        <w:widowControl/>
        <w:spacing w:line="600" w:lineRule="exact"/>
        <w:ind w:firstLine="645"/>
        <w:jc w:val="left"/>
        <w:rPr>
          <w:rFonts w:hint="eastAsia" w:ascii="仿宋_GB2312" w:hAnsi="Arial" w:eastAsia="仿宋_GB2312" w:cs="Arial"/>
          <w:color w:val="000000"/>
          <w:kern w:val="0"/>
          <w:sz w:val="32"/>
          <w:szCs w:val="32"/>
        </w:rPr>
      </w:pPr>
    </w:p>
    <w:p>
      <w:pPr>
        <w:widowControl/>
        <w:spacing w:line="600" w:lineRule="exact"/>
        <w:ind w:firstLine="645"/>
        <w:jc w:val="left"/>
        <w:rPr>
          <w:rFonts w:hint="eastAsia" w:ascii="仿宋_GB2312" w:hAnsi="Arial" w:eastAsia="仿宋_GB2312" w:cs="Arial"/>
          <w:color w:val="000000"/>
          <w:kern w:val="0"/>
          <w:sz w:val="32"/>
          <w:szCs w:val="32"/>
        </w:rPr>
      </w:pPr>
    </w:p>
    <w:p>
      <w:pPr>
        <w:widowControl/>
        <w:spacing w:line="600" w:lineRule="exact"/>
        <w:ind w:firstLine="645"/>
        <w:jc w:val="left"/>
        <w:rPr>
          <w:rFonts w:ascii="Arial" w:hAnsi="Arial" w:eastAsia="宋体" w:cs="Arial"/>
          <w:color w:val="000000"/>
          <w:kern w:val="0"/>
          <w:szCs w:val="21"/>
        </w:rPr>
      </w:pPr>
    </w:p>
    <w:p>
      <w:pPr>
        <w:widowControl/>
        <w:spacing w:line="600" w:lineRule="exact"/>
        <w:jc w:val="center"/>
        <w:rPr>
          <w:rFonts w:ascii="Arial" w:hAnsi="Arial" w:eastAsia="宋体" w:cs="Arial"/>
          <w:color w:val="000000"/>
          <w:kern w:val="0"/>
          <w:szCs w:val="21"/>
        </w:rPr>
      </w:pPr>
      <w:r>
        <w:rPr>
          <w:rFonts w:hint="eastAsia" w:ascii="方正小标宋简体" w:hAnsi="Arial" w:eastAsia="方正小标宋简体" w:cs="Arial"/>
          <w:b/>
          <w:bCs/>
          <w:color w:val="000000"/>
          <w:kern w:val="0"/>
          <w:sz w:val="30"/>
          <w:szCs w:val="30"/>
        </w:rPr>
        <w:t>专业技能测试项目要求</w:t>
      </w:r>
    </w:p>
    <w:tbl>
      <w:tblPr>
        <w:tblStyle w:val="3"/>
        <w:tblW w:w="8434" w:type="dxa"/>
        <w:tblInd w:w="0" w:type="dxa"/>
        <w:tblLayout w:type="fixed"/>
        <w:tblCellMar>
          <w:top w:w="0" w:type="dxa"/>
          <w:left w:w="0" w:type="dxa"/>
          <w:bottom w:w="0" w:type="dxa"/>
          <w:right w:w="0" w:type="dxa"/>
        </w:tblCellMar>
      </w:tblPr>
      <w:tblGrid>
        <w:gridCol w:w="1358"/>
        <w:gridCol w:w="2450"/>
        <w:gridCol w:w="4626"/>
      </w:tblGrid>
      <w:tr>
        <w:tblPrEx>
          <w:tblLayout w:type="fixed"/>
          <w:tblCellMar>
            <w:top w:w="0" w:type="dxa"/>
            <w:left w:w="0" w:type="dxa"/>
            <w:bottom w:w="0" w:type="dxa"/>
            <w:right w:w="0" w:type="dxa"/>
          </w:tblCellMar>
        </w:tblPrEx>
        <w:tc>
          <w:tcPr>
            <w:tcW w:w="1358"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0" w:type="dxa"/>
            </w:tcMar>
            <w:vAlign w:val="center"/>
          </w:tcPr>
          <w:p>
            <w:pPr>
              <w:widowControl/>
              <w:adjustRightInd w:val="0"/>
              <w:snapToGrid w:val="0"/>
              <w:jc w:val="center"/>
              <w:rPr>
                <w:rFonts w:ascii="宋体" w:hAnsi="宋体" w:eastAsia="宋体" w:cs="宋体"/>
                <w:kern w:val="0"/>
                <w:sz w:val="24"/>
                <w:szCs w:val="24"/>
              </w:rPr>
            </w:pPr>
            <w:r>
              <w:rPr>
                <w:rFonts w:hint="eastAsia" w:ascii="仿宋_GB2312" w:hAnsi="宋体" w:eastAsia="仿宋_GB2312" w:cs="宋体"/>
                <w:b/>
                <w:bCs/>
                <w:color w:val="000000"/>
                <w:kern w:val="0"/>
                <w:sz w:val="24"/>
                <w:szCs w:val="24"/>
              </w:rPr>
              <w:t>岗位名称</w:t>
            </w:r>
          </w:p>
        </w:tc>
        <w:tc>
          <w:tcPr>
            <w:tcW w:w="2450" w:type="dxa"/>
            <w:tcBorders>
              <w:top w:val="single" w:color="000000" w:sz="6" w:space="0"/>
              <w:left w:val="nil"/>
              <w:bottom w:val="single" w:color="000000" w:sz="6" w:space="0"/>
              <w:right w:val="single" w:color="000000" w:sz="6" w:space="0"/>
            </w:tcBorders>
            <w:tcMar>
              <w:top w:w="60" w:type="dxa"/>
              <w:left w:w="120" w:type="dxa"/>
              <w:bottom w:w="60" w:type="dxa"/>
              <w:right w:w="0" w:type="dxa"/>
            </w:tcMar>
            <w:vAlign w:val="center"/>
          </w:tcPr>
          <w:p>
            <w:pPr>
              <w:widowControl/>
              <w:adjustRightInd w:val="0"/>
              <w:snapToGrid w:val="0"/>
              <w:jc w:val="center"/>
              <w:rPr>
                <w:rFonts w:ascii="宋体" w:hAnsi="宋体" w:eastAsia="宋体" w:cs="宋体"/>
                <w:kern w:val="0"/>
                <w:sz w:val="24"/>
                <w:szCs w:val="24"/>
              </w:rPr>
            </w:pPr>
            <w:r>
              <w:rPr>
                <w:rFonts w:hint="eastAsia" w:ascii="仿宋_GB2312" w:hAnsi="宋体" w:eastAsia="仿宋_GB2312" w:cs="宋体"/>
                <w:b/>
                <w:bCs/>
                <w:color w:val="000000"/>
                <w:kern w:val="0"/>
                <w:sz w:val="24"/>
                <w:szCs w:val="24"/>
              </w:rPr>
              <w:t>测试要求</w:t>
            </w:r>
          </w:p>
        </w:tc>
        <w:tc>
          <w:tcPr>
            <w:tcW w:w="4626" w:type="dxa"/>
            <w:tcBorders>
              <w:top w:val="single" w:color="000000" w:sz="6" w:space="0"/>
              <w:left w:val="nil"/>
              <w:bottom w:val="single" w:color="000000" w:sz="6" w:space="0"/>
              <w:right w:val="single" w:color="000000" w:sz="6" w:space="0"/>
            </w:tcBorders>
            <w:tcMar>
              <w:top w:w="60" w:type="dxa"/>
              <w:left w:w="120" w:type="dxa"/>
              <w:bottom w:w="60" w:type="dxa"/>
              <w:right w:w="0" w:type="dxa"/>
            </w:tcMar>
            <w:vAlign w:val="center"/>
          </w:tcPr>
          <w:p>
            <w:pPr>
              <w:widowControl/>
              <w:adjustRightInd w:val="0"/>
              <w:snapToGrid w:val="0"/>
              <w:jc w:val="center"/>
              <w:rPr>
                <w:rFonts w:ascii="宋体" w:hAnsi="宋体" w:eastAsia="宋体" w:cs="宋体"/>
                <w:kern w:val="0"/>
                <w:sz w:val="24"/>
                <w:szCs w:val="24"/>
              </w:rPr>
            </w:pPr>
            <w:r>
              <w:rPr>
                <w:rFonts w:hint="eastAsia" w:ascii="仿宋_GB2312" w:hAnsi="宋体" w:eastAsia="仿宋_GB2312" w:cs="宋体"/>
                <w:b/>
                <w:bCs/>
                <w:color w:val="000000"/>
                <w:kern w:val="0"/>
                <w:sz w:val="24"/>
                <w:szCs w:val="24"/>
              </w:rPr>
              <w:t>考生需备工具、用具</w:t>
            </w:r>
          </w:p>
        </w:tc>
      </w:tr>
      <w:tr>
        <w:tblPrEx>
          <w:tblLayout w:type="fixed"/>
          <w:tblCellMar>
            <w:top w:w="0" w:type="dxa"/>
            <w:left w:w="0" w:type="dxa"/>
            <w:bottom w:w="0" w:type="dxa"/>
            <w:right w:w="0" w:type="dxa"/>
          </w:tblCellMar>
        </w:tblPrEx>
        <w:tc>
          <w:tcPr>
            <w:tcW w:w="1358" w:type="dxa"/>
            <w:tcBorders>
              <w:top w:val="nil"/>
              <w:left w:val="single" w:color="000000" w:sz="6" w:space="0"/>
              <w:bottom w:val="single" w:color="000000" w:sz="6" w:space="0"/>
              <w:right w:val="single" w:color="000000" w:sz="6" w:space="0"/>
            </w:tcBorders>
            <w:tcMar>
              <w:top w:w="60" w:type="dxa"/>
              <w:left w:w="120" w:type="dxa"/>
              <w:bottom w:w="60" w:type="dxa"/>
              <w:right w:w="0" w:type="dxa"/>
            </w:tcMar>
            <w:vAlign w:val="center"/>
          </w:tcPr>
          <w:p>
            <w:pPr>
              <w:widowControl/>
              <w:adjustRightInd w:val="0"/>
              <w:snapToGrid w:val="0"/>
              <w:jc w:val="left"/>
              <w:rPr>
                <w:rFonts w:ascii="宋体" w:hAnsi="宋体" w:eastAsia="宋体" w:cs="宋体"/>
                <w:kern w:val="0"/>
                <w:sz w:val="24"/>
                <w:szCs w:val="24"/>
              </w:rPr>
            </w:pPr>
            <w:r>
              <w:rPr>
                <w:rFonts w:hint="eastAsia" w:ascii="仿宋_GB2312" w:hAnsi="宋体" w:eastAsia="仿宋_GB2312" w:cs="宋体"/>
                <w:color w:val="000000"/>
                <w:kern w:val="0"/>
                <w:sz w:val="24"/>
                <w:szCs w:val="24"/>
              </w:rPr>
              <w:t>小学音乐</w:t>
            </w:r>
          </w:p>
        </w:tc>
        <w:tc>
          <w:tcPr>
            <w:tcW w:w="2450" w:type="dxa"/>
            <w:tcBorders>
              <w:top w:val="nil"/>
              <w:left w:val="nil"/>
              <w:bottom w:val="single" w:color="000000" w:sz="6" w:space="0"/>
              <w:right w:val="single" w:color="000000" w:sz="6" w:space="0"/>
            </w:tcBorders>
            <w:tcMar>
              <w:top w:w="60" w:type="dxa"/>
              <w:left w:w="120" w:type="dxa"/>
              <w:bottom w:w="60" w:type="dxa"/>
              <w:right w:w="0" w:type="dxa"/>
            </w:tcMar>
            <w:vAlign w:val="center"/>
          </w:tcPr>
          <w:p>
            <w:pPr>
              <w:widowControl/>
              <w:adjustRightInd w:val="0"/>
              <w:snapToGrid w:val="0"/>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声乐、舞蹈、钢琴展示、自弹自唱（现场命题），其他特长（第二乐器）</w:t>
            </w:r>
          </w:p>
        </w:tc>
        <w:tc>
          <w:tcPr>
            <w:tcW w:w="4626" w:type="dxa"/>
            <w:tcBorders>
              <w:top w:val="nil"/>
              <w:left w:val="nil"/>
              <w:bottom w:val="single" w:color="000000" w:sz="6" w:space="0"/>
              <w:right w:val="single" w:color="000000" w:sz="6" w:space="0"/>
            </w:tcBorders>
            <w:tcMar>
              <w:top w:w="60" w:type="dxa"/>
              <w:left w:w="120" w:type="dxa"/>
              <w:bottom w:w="60" w:type="dxa"/>
              <w:right w:w="0" w:type="dxa"/>
            </w:tcMar>
            <w:vAlign w:val="center"/>
          </w:tcPr>
          <w:p>
            <w:pPr>
              <w:widowControl/>
              <w:adjustRightInd w:val="0"/>
              <w:snapToGrid w:val="0"/>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考场备有钢琴，其他特长项目器材自带，如需播放音乐的请自备存有播放文件的U盘。</w:t>
            </w:r>
          </w:p>
        </w:tc>
      </w:tr>
      <w:tr>
        <w:tblPrEx>
          <w:tblLayout w:type="fixed"/>
          <w:tblCellMar>
            <w:top w:w="0" w:type="dxa"/>
            <w:left w:w="0" w:type="dxa"/>
            <w:bottom w:w="0" w:type="dxa"/>
            <w:right w:w="0" w:type="dxa"/>
          </w:tblCellMar>
        </w:tblPrEx>
        <w:tc>
          <w:tcPr>
            <w:tcW w:w="1358" w:type="dxa"/>
            <w:tcBorders>
              <w:top w:val="nil"/>
              <w:left w:val="single" w:color="000000" w:sz="6" w:space="0"/>
              <w:bottom w:val="single" w:color="auto" w:sz="6" w:space="0"/>
              <w:right w:val="single" w:color="000000" w:sz="6" w:space="0"/>
            </w:tcBorders>
            <w:tcMar>
              <w:top w:w="60" w:type="dxa"/>
              <w:left w:w="120" w:type="dxa"/>
              <w:bottom w:w="60" w:type="dxa"/>
              <w:right w:w="0" w:type="dxa"/>
            </w:tcMar>
            <w:vAlign w:val="center"/>
          </w:tcPr>
          <w:p>
            <w:pPr>
              <w:widowControl/>
              <w:adjustRightInd w:val="0"/>
              <w:snapToGrid w:val="0"/>
              <w:jc w:val="left"/>
              <w:rPr>
                <w:rFonts w:ascii="宋体" w:hAnsi="宋体" w:eastAsia="宋体" w:cs="宋体"/>
                <w:kern w:val="0"/>
                <w:sz w:val="24"/>
                <w:szCs w:val="24"/>
              </w:rPr>
            </w:pPr>
            <w:r>
              <w:rPr>
                <w:rFonts w:hint="eastAsia" w:ascii="仿宋_GB2312" w:hAnsi="宋体" w:eastAsia="仿宋_GB2312" w:cs="宋体"/>
                <w:color w:val="000000"/>
                <w:kern w:val="0"/>
                <w:sz w:val="24"/>
                <w:szCs w:val="24"/>
              </w:rPr>
              <w:t>小学美术</w:t>
            </w:r>
          </w:p>
        </w:tc>
        <w:tc>
          <w:tcPr>
            <w:tcW w:w="2450" w:type="dxa"/>
            <w:tcBorders>
              <w:top w:val="nil"/>
              <w:left w:val="nil"/>
              <w:bottom w:val="single" w:color="auto" w:sz="6" w:space="0"/>
              <w:right w:val="single" w:color="000000" w:sz="6" w:space="0"/>
            </w:tcBorders>
            <w:tcMar>
              <w:top w:w="60" w:type="dxa"/>
              <w:left w:w="120" w:type="dxa"/>
              <w:bottom w:w="60" w:type="dxa"/>
              <w:right w:w="0" w:type="dxa"/>
            </w:tcMar>
            <w:vAlign w:val="center"/>
          </w:tcPr>
          <w:p>
            <w:pPr>
              <w:widowControl/>
              <w:adjustRightInd w:val="0"/>
              <w:snapToGrid w:val="0"/>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现场绘画和手工制作</w:t>
            </w:r>
          </w:p>
        </w:tc>
        <w:tc>
          <w:tcPr>
            <w:tcW w:w="4626" w:type="dxa"/>
            <w:tcBorders>
              <w:top w:val="nil"/>
              <w:left w:val="nil"/>
              <w:bottom w:val="single" w:color="auto" w:sz="6" w:space="0"/>
              <w:right w:val="single" w:color="000000" w:sz="6" w:space="0"/>
            </w:tcBorders>
            <w:tcMar>
              <w:top w:w="60" w:type="dxa"/>
              <w:left w:w="120" w:type="dxa"/>
              <w:bottom w:w="60" w:type="dxa"/>
              <w:right w:w="0" w:type="dxa"/>
            </w:tcMar>
            <w:vAlign w:val="center"/>
          </w:tcPr>
          <w:p>
            <w:pPr>
              <w:widowControl/>
              <w:adjustRightInd w:val="0"/>
              <w:snapToGrid w:val="0"/>
              <w:jc w:val="left"/>
              <w:rPr>
                <w:rFonts w:ascii="宋体" w:hAnsi="宋体" w:eastAsia="宋体" w:cs="宋体"/>
                <w:kern w:val="0"/>
                <w:sz w:val="24"/>
                <w:szCs w:val="24"/>
              </w:rPr>
            </w:pPr>
            <w:r>
              <w:rPr>
                <w:rFonts w:hint="eastAsia" w:ascii="仿宋_GB2312" w:hAnsi="宋体" w:eastAsia="仿宋_GB2312" w:cs="宋体"/>
                <w:color w:val="000000"/>
                <w:kern w:val="0"/>
                <w:sz w:val="24"/>
                <w:szCs w:val="24"/>
              </w:rPr>
              <w:t>1.水彩画、水粉画、铅笔淡彩或钢笔淡彩、水墨、白描等不限，画纸（4开画纸）、画板和其他作画工具材料自备。</w:t>
            </w:r>
          </w:p>
          <w:p>
            <w:pPr>
              <w:widowControl/>
              <w:adjustRightInd w:val="0"/>
              <w:snapToGrid w:val="0"/>
              <w:jc w:val="left"/>
              <w:rPr>
                <w:rFonts w:ascii="宋体" w:hAnsi="宋体" w:eastAsia="宋体" w:cs="宋体"/>
                <w:kern w:val="0"/>
                <w:sz w:val="24"/>
                <w:szCs w:val="24"/>
              </w:rPr>
            </w:pPr>
            <w:r>
              <w:rPr>
                <w:rFonts w:hint="eastAsia" w:ascii="仿宋_GB2312" w:hAnsi="宋体" w:eastAsia="仿宋_GB2312" w:cs="宋体"/>
                <w:color w:val="000000"/>
                <w:kern w:val="0"/>
                <w:sz w:val="24"/>
                <w:szCs w:val="24"/>
              </w:rPr>
              <w:t>2.根据现场命题进行纸立体造型设计制作，制作材料（纸质）、制作工具自备。纸质软硬均可，色彩不限，纸张可以为卡纸、白板纸、皱纹纸、报纸、牛皮纸、瓦楞纸、海绵纸等等。既可以选择单一类型的纸张，也可以综合使用各种纸张。</w:t>
            </w:r>
          </w:p>
        </w:tc>
      </w:tr>
      <w:tr>
        <w:tblPrEx>
          <w:tblLayout w:type="fixed"/>
          <w:tblCellMar>
            <w:top w:w="0" w:type="dxa"/>
            <w:left w:w="0" w:type="dxa"/>
            <w:bottom w:w="0" w:type="dxa"/>
            <w:right w:w="0" w:type="dxa"/>
          </w:tblCellMar>
        </w:tblPrEx>
        <w:tc>
          <w:tcPr>
            <w:tcW w:w="1358" w:type="dxa"/>
            <w:tcBorders>
              <w:top w:val="nil"/>
              <w:left w:val="single" w:color="000000" w:sz="6" w:space="0"/>
              <w:bottom w:val="single" w:color="auto" w:sz="6" w:space="0"/>
              <w:right w:val="single" w:color="000000" w:sz="6" w:space="0"/>
            </w:tcBorders>
            <w:tcMar>
              <w:top w:w="60" w:type="dxa"/>
              <w:left w:w="120" w:type="dxa"/>
              <w:bottom w:w="60" w:type="dxa"/>
              <w:right w:w="0" w:type="dxa"/>
            </w:tcMar>
            <w:vAlign w:val="center"/>
          </w:tcPr>
          <w:p>
            <w:pPr>
              <w:widowControl/>
              <w:adjustRightInd w:val="0"/>
              <w:snapToGrid w:val="0"/>
              <w:jc w:val="left"/>
              <w:rPr>
                <w:rFonts w:ascii="宋体" w:hAnsi="宋体" w:eastAsia="宋体" w:cs="宋体"/>
                <w:kern w:val="0"/>
                <w:sz w:val="24"/>
                <w:szCs w:val="24"/>
              </w:rPr>
            </w:pPr>
            <w:r>
              <w:rPr>
                <w:rFonts w:hint="eastAsia" w:ascii="仿宋_GB2312" w:hAnsi="宋体" w:eastAsia="仿宋_GB2312" w:cs="宋体"/>
                <w:color w:val="000000"/>
                <w:kern w:val="0"/>
                <w:sz w:val="24"/>
                <w:szCs w:val="24"/>
              </w:rPr>
              <w:t>中小学体育</w:t>
            </w:r>
          </w:p>
        </w:tc>
        <w:tc>
          <w:tcPr>
            <w:tcW w:w="2450" w:type="dxa"/>
            <w:tcBorders>
              <w:top w:val="nil"/>
              <w:left w:val="nil"/>
              <w:bottom w:val="single" w:color="auto" w:sz="6" w:space="0"/>
              <w:right w:val="single" w:color="000000" w:sz="6" w:space="0"/>
            </w:tcBorders>
            <w:tcMar>
              <w:top w:w="60" w:type="dxa"/>
              <w:left w:w="120" w:type="dxa"/>
              <w:bottom w:w="60" w:type="dxa"/>
              <w:right w:w="0" w:type="dxa"/>
            </w:tcMar>
            <w:vAlign w:val="center"/>
          </w:tcPr>
          <w:p>
            <w:pPr>
              <w:widowControl/>
              <w:adjustRightInd w:val="0"/>
              <w:snapToGrid w:val="0"/>
              <w:jc w:val="left"/>
              <w:rPr>
                <w:rFonts w:ascii="宋体" w:hAnsi="宋体" w:eastAsia="宋体" w:cs="宋体"/>
                <w:kern w:val="0"/>
                <w:sz w:val="24"/>
                <w:szCs w:val="24"/>
              </w:rPr>
            </w:pPr>
            <w:r>
              <w:rPr>
                <w:rFonts w:hint="eastAsia" w:ascii="仿宋_GB2312" w:hAnsi="宋体" w:eastAsia="仿宋_GB2312" w:cs="宋体"/>
                <w:color w:val="000000"/>
                <w:kern w:val="0"/>
                <w:sz w:val="24"/>
                <w:szCs w:val="24"/>
              </w:rPr>
              <w:t>运动技术展示、运动特长项目展示</w:t>
            </w:r>
          </w:p>
        </w:tc>
        <w:tc>
          <w:tcPr>
            <w:tcW w:w="4626" w:type="dxa"/>
            <w:tcBorders>
              <w:top w:val="nil"/>
              <w:left w:val="nil"/>
              <w:bottom w:val="single" w:color="auto" w:sz="6" w:space="0"/>
              <w:right w:val="single" w:color="000000" w:sz="6" w:space="0"/>
            </w:tcBorders>
            <w:tcMar>
              <w:top w:w="60" w:type="dxa"/>
              <w:left w:w="120" w:type="dxa"/>
              <w:bottom w:w="60" w:type="dxa"/>
              <w:right w:w="0" w:type="dxa"/>
            </w:tcMar>
            <w:vAlign w:val="center"/>
          </w:tcPr>
          <w:p>
            <w:pPr>
              <w:widowControl/>
              <w:adjustRightInd w:val="0"/>
              <w:snapToGrid w:val="0"/>
              <w:jc w:val="left"/>
              <w:rPr>
                <w:rFonts w:ascii="宋体" w:hAnsi="宋体" w:eastAsia="宋体" w:cs="宋体"/>
                <w:kern w:val="0"/>
                <w:sz w:val="24"/>
                <w:szCs w:val="24"/>
              </w:rPr>
            </w:pPr>
            <w:r>
              <w:rPr>
                <w:rFonts w:hint="eastAsia" w:ascii="仿宋_GB2312" w:hAnsi="宋体" w:eastAsia="仿宋_GB2312" w:cs="宋体"/>
                <w:color w:val="000000"/>
                <w:kern w:val="0"/>
                <w:sz w:val="24"/>
                <w:szCs w:val="24"/>
              </w:rPr>
              <w:t>运动鞋、运动服；可自备特长（专业）项目器材。</w:t>
            </w:r>
          </w:p>
        </w:tc>
      </w:tr>
      <w:tr>
        <w:tblPrEx>
          <w:tblLayout w:type="fixed"/>
          <w:tblCellMar>
            <w:top w:w="0" w:type="dxa"/>
            <w:left w:w="0" w:type="dxa"/>
            <w:bottom w:w="0" w:type="dxa"/>
            <w:right w:w="0" w:type="dxa"/>
          </w:tblCellMar>
        </w:tblPrEx>
        <w:tc>
          <w:tcPr>
            <w:tcW w:w="1358" w:type="dxa"/>
            <w:tcBorders>
              <w:top w:val="nil"/>
              <w:left w:val="single" w:color="000000" w:sz="6" w:space="0"/>
              <w:bottom w:val="single" w:color="000000" w:sz="6" w:space="0"/>
              <w:right w:val="single" w:color="000000" w:sz="6" w:space="0"/>
            </w:tcBorders>
            <w:tcMar>
              <w:top w:w="60" w:type="dxa"/>
              <w:left w:w="120" w:type="dxa"/>
              <w:bottom w:w="60" w:type="dxa"/>
              <w:right w:w="0" w:type="dxa"/>
            </w:tcMar>
            <w:vAlign w:val="center"/>
          </w:tcPr>
          <w:p>
            <w:pPr>
              <w:widowControl/>
              <w:adjustRightInd w:val="0"/>
              <w:snapToGrid w:val="0"/>
              <w:jc w:val="left"/>
              <w:rPr>
                <w:rFonts w:ascii="宋体" w:hAnsi="宋体" w:eastAsia="宋体" w:cs="宋体"/>
                <w:kern w:val="0"/>
                <w:sz w:val="24"/>
                <w:szCs w:val="24"/>
              </w:rPr>
            </w:pPr>
            <w:r>
              <w:rPr>
                <w:rFonts w:hint="eastAsia" w:ascii="仿宋_GB2312" w:hAnsi="宋体" w:eastAsia="仿宋_GB2312" w:cs="宋体"/>
                <w:color w:val="000000"/>
                <w:kern w:val="0"/>
                <w:sz w:val="24"/>
                <w:szCs w:val="24"/>
              </w:rPr>
              <w:t>中小学信息技术</w:t>
            </w:r>
          </w:p>
        </w:tc>
        <w:tc>
          <w:tcPr>
            <w:tcW w:w="2450" w:type="dxa"/>
            <w:tcBorders>
              <w:top w:val="nil"/>
              <w:left w:val="nil"/>
              <w:bottom w:val="single" w:color="000000" w:sz="6" w:space="0"/>
              <w:right w:val="single" w:color="000000" w:sz="6" w:space="0"/>
            </w:tcBorders>
            <w:tcMar>
              <w:top w:w="60" w:type="dxa"/>
              <w:left w:w="120" w:type="dxa"/>
              <w:bottom w:w="60" w:type="dxa"/>
              <w:right w:w="0" w:type="dxa"/>
            </w:tcMar>
            <w:vAlign w:val="center"/>
          </w:tcPr>
          <w:p>
            <w:pPr>
              <w:widowControl/>
              <w:adjustRightInd w:val="0"/>
              <w:snapToGrid w:val="0"/>
              <w:jc w:val="left"/>
              <w:rPr>
                <w:rFonts w:ascii="宋体" w:hAnsi="宋体" w:eastAsia="宋体" w:cs="宋体"/>
                <w:kern w:val="0"/>
                <w:sz w:val="24"/>
                <w:szCs w:val="24"/>
              </w:rPr>
            </w:pPr>
            <w:r>
              <w:rPr>
                <w:rFonts w:hint="eastAsia" w:ascii="仿宋_GB2312" w:hAnsi="宋体" w:eastAsia="仿宋_GB2312" w:cs="宋体"/>
                <w:color w:val="000000"/>
                <w:kern w:val="0"/>
                <w:sz w:val="24"/>
                <w:szCs w:val="24"/>
              </w:rPr>
              <w:t>现场操作</w:t>
            </w:r>
          </w:p>
        </w:tc>
        <w:tc>
          <w:tcPr>
            <w:tcW w:w="4626" w:type="dxa"/>
            <w:tcBorders>
              <w:top w:val="nil"/>
              <w:left w:val="nil"/>
              <w:bottom w:val="single" w:color="000000" w:sz="6" w:space="0"/>
              <w:right w:val="single" w:color="000000" w:sz="6" w:space="0"/>
            </w:tcBorders>
            <w:tcMar>
              <w:top w:w="60" w:type="dxa"/>
              <w:left w:w="120" w:type="dxa"/>
              <w:bottom w:w="60" w:type="dxa"/>
              <w:right w:w="0" w:type="dxa"/>
            </w:tcMar>
            <w:vAlign w:val="center"/>
          </w:tcPr>
          <w:p>
            <w:pPr>
              <w:widowControl/>
              <w:adjustRightInd w:val="0"/>
              <w:snapToGrid w:val="0"/>
              <w:jc w:val="left"/>
              <w:rPr>
                <w:rFonts w:ascii="宋体" w:hAnsi="宋体" w:eastAsia="宋体" w:cs="宋体"/>
                <w:kern w:val="0"/>
                <w:sz w:val="24"/>
                <w:szCs w:val="24"/>
              </w:rPr>
            </w:pPr>
          </w:p>
        </w:tc>
      </w:tr>
    </w:tbl>
    <w:p>
      <w:pPr>
        <w:widowControl/>
        <w:spacing w:line="600" w:lineRule="exact"/>
        <w:ind w:firstLine="645"/>
        <w:jc w:val="left"/>
        <w:rPr>
          <w:rFonts w:ascii="Arial" w:hAnsi="Arial" w:eastAsia="宋体" w:cs="Arial"/>
          <w:color w:val="000000"/>
          <w:kern w:val="0"/>
          <w:szCs w:val="21"/>
        </w:rPr>
      </w:pPr>
      <w:r>
        <w:rPr>
          <w:rFonts w:hint="eastAsia" w:ascii="楷体_GB2312" w:hAnsi="Arial" w:eastAsia="楷体_GB2312" w:cs="Arial"/>
          <w:b/>
          <w:bCs/>
          <w:color w:val="000000"/>
          <w:kern w:val="0"/>
          <w:sz w:val="32"/>
          <w:szCs w:val="32"/>
        </w:rPr>
        <w:t>（三)考试成绩</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面试及技能测试成绩，满分均为100分，合格线均为60分，每一批考试的入围分数线根据实际考试成绩划定。面试或技能测试成绩低于合格线的应聘者不得纳入聘用范围。</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排名按综合成绩由高到低，仅设面试的岗位面试成绩即为综合成绩，设有技能测试的岗位综合成绩=面试成绩×50%+技能测试成绩×50%。若同一岗位考生综合成绩相同，依次按照面试主评委评分高低顺序确定名次，如面试主评委评分仍相同，则另行加考。</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考试结束后，成绩将在江门高新区（江海区）政务信息网教育局网上公布。</w:t>
      </w:r>
    </w:p>
    <w:p>
      <w:pPr>
        <w:widowControl/>
        <w:spacing w:line="600" w:lineRule="exact"/>
        <w:ind w:firstLine="645"/>
        <w:jc w:val="left"/>
        <w:rPr>
          <w:rFonts w:ascii="Arial" w:hAnsi="Arial" w:eastAsia="宋体" w:cs="Arial"/>
          <w:color w:val="000000"/>
          <w:kern w:val="0"/>
          <w:szCs w:val="21"/>
        </w:rPr>
      </w:pPr>
      <w:r>
        <w:rPr>
          <w:rFonts w:hint="eastAsia" w:ascii="黑体" w:hAnsi="黑体" w:eastAsia="黑体" w:cs="Arial"/>
          <w:color w:val="000000"/>
          <w:kern w:val="0"/>
          <w:sz w:val="32"/>
          <w:szCs w:val="32"/>
        </w:rPr>
        <w:t>六、体检</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考试结束后，体检人选名单按同岗位应聘者考试成绩从高到低择优确定，并于考试结束后10个工作日内在网上公布。入围体检的考生在考试结束后由江海区教育局统一组织到县级以上综合性医院进行体检（具体时间以网上公布为准），体检标准按照《广东省教师资格申请人员体格检查标准（2013年修订）》执行，体检费用考生自理。逾期不参加体检的，视为自动放弃。如上述文件尚无明确规定的，可参考公务员录用体检标准执行。</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对入围体检的应届毕业生收取《普通高校毕业生就业协议书》原件。考生无法提供《就业协议书》的，按自动放弃体检、考察资格处理。体检结果不合格的考生将退回《就业协议书》原件。</w:t>
      </w:r>
    </w:p>
    <w:p>
      <w:pPr>
        <w:widowControl/>
        <w:spacing w:line="600" w:lineRule="exact"/>
        <w:ind w:firstLine="645"/>
        <w:jc w:val="left"/>
        <w:rPr>
          <w:rFonts w:ascii="Arial" w:hAnsi="Arial" w:eastAsia="宋体" w:cs="Arial"/>
          <w:color w:val="000000"/>
          <w:kern w:val="0"/>
          <w:szCs w:val="21"/>
        </w:rPr>
      </w:pPr>
      <w:r>
        <w:rPr>
          <w:rFonts w:hint="eastAsia" w:ascii="黑体" w:hAnsi="黑体" w:eastAsia="黑体" w:cs="Arial"/>
          <w:color w:val="000000"/>
          <w:kern w:val="0"/>
          <w:sz w:val="32"/>
          <w:szCs w:val="32"/>
        </w:rPr>
        <w:t>七、考察</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体检结束后，江海区教育局对通过考试且体检合格的拟聘用人员进行考察。主要考察拟聘用人员政治思想、道德修养、能力素质、学习和工作表现、遵纪守法、廉洁自律、社会关系及是否需要回避等情况，并通过查阅个人档案等方式核实其是否符合聘用资格条件。</w:t>
      </w:r>
    </w:p>
    <w:p>
      <w:pPr>
        <w:widowControl/>
        <w:spacing w:line="600" w:lineRule="exact"/>
        <w:ind w:firstLine="645"/>
        <w:jc w:val="left"/>
        <w:rPr>
          <w:rFonts w:ascii="Arial" w:hAnsi="Arial" w:eastAsia="宋体" w:cs="Arial"/>
          <w:color w:val="000000"/>
          <w:kern w:val="0"/>
          <w:szCs w:val="21"/>
        </w:rPr>
      </w:pPr>
      <w:r>
        <w:rPr>
          <w:rFonts w:hint="eastAsia" w:ascii="黑体" w:hAnsi="黑体" w:eastAsia="黑体" w:cs="Arial"/>
          <w:color w:val="000000"/>
          <w:kern w:val="0"/>
          <w:sz w:val="32"/>
          <w:szCs w:val="32"/>
        </w:rPr>
        <w:t>八、资格复查及公示</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体检、考察工作完成后，由江海区委组织部进行资格复查。复查发现应聘者的真实情况与公告岗位所需的资格条件不符的，取消聘用资格；如发现提交虚假材料，或伪造、变造有关证件、材料、信息骗取应聘资格的，取消聘用资格。经复审通过的拟聘用人员名单，由江海区委组织部在高新区（江海区）政务信息网组织部公示7个工作日。</w:t>
      </w:r>
    </w:p>
    <w:p>
      <w:pPr>
        <w:widowControl/>
        <w:spacing w:line="600" w:lineRule="exact"/>
        <w:ind w:firstLine="645"/>
        <w:jc w:val="left"/>
        <w:rPr>
          <w:rFonts w:ascii="Arial" w:hAnsi="Arial" w:eastAsia="宋体" w:cs="Arial"/>
          <w:color w:val="000000"/>
          <w:kern w:val="0"/>
          <w:szCs w:val="21"/>
        </w:rPr>
      </w:pPr>
      <w:r>
        <w:rPr>
          <w:rFonts w:hint="eastAsia" w:ascii="黑体" w:hAnsi="黑体" w:eastAsia="黑体" w:cs="Arial"/>
          <w:color w:val="000000"/>
          <w:kern w:val="0"/>
          <w:sz w:val="32"/>
          <w:szCs w:val="32"/>
        </w:rPr>
        <w:t>九、试用及聘用</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经公示无异议后，由区委组织部制发聘用通知书。聘用人员持聘用通知书办理报到、关系及档案迁移、聘用合同签订等手续。聘用后，由用人单位组织试用，试用期包含在聘用合同期内。试用期满考核合格者正式聘用为在编教师。试用期满考核不合格或试用期内发现隐瞒聘前病史且身体条件不符合岗位要求的人员，取消其聘用资格。一经聘用，需履行最低服务年限4年的义务。</w:t>
      </w:r>
      <w:r>
        <w:rPr>
          <w:rFonts w:hint="eastAsia" w:ascii="宋体" w:hAnsi="宋体" w:eastAsia="宋体" w:cs="宋体"/>
          <w:color w:val="000000"/>
          <w:kern w:val="0"/>
          <w:sz w:val="32"/>
          <w:szCs w:val="32"/>
        </w:rPr>
        <w:t> </w:t>
      </w:r>
    </w:p>
    <w:p>
      <w:pPr>
        <w:widowControl/>
        <w:spacing w:line="600" w:lineRule="exact"/>
        <w:ind w:firstLine="645"/>
        <w:jc w:val="left"/>
        <w:rPr>
          <w:rFonts w:ascii="Arial" w:hAnsi="Arial" w:eastAsia="宋体" w:cs="Arial"/>
          <w:color w:val="000000"/>
          <w:kern w:val="0"/>
          <w:szCs w:val="21"/>
        </w:rPr>
      </w:pPr>
      <w:r>
        <w:rPr>
          <w:rFonts w:hint="eastAsia" w:ascii="黑体" w:hAnsi="黑体" w:eastAsia="黑体" w:cs="Arial"/>
          <w:color w:val="000000"/>
          <w:kern w:val="0"/>
          <w:sz w:val="32"/>
          <w:szCs w:val="32"/>
        </w:rPr>
        <w:t>十、递补</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出现以下情况，根据需要可以在同岗位的考生中，按照考试成绩从高分到低分依次递补人选：</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（一）考生放弃体检、考察、聘用，或体检、考察不合格的；</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（二）拟聘用人选公示结果影响聘用的；</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（三）聘用人选未在规定的报到时间内报到的。</w:t>
      </w:r>
    </w:p>
    <w:p>
      <w:pPr>
        <w:widowControl/>
        <w:spacing w:line="600" w:lineRule="exact"/>
        <w:ind w:firstLine="645"/>
        <w:jc w:val="left"/>
        <w:rPr>
          <w:rFonts w:ascii="Arial" w:hAnsi="Arial" w:eastAsia="宋体" w:cs="Arial"/>
          <w:color w:val="000000"/>
          <w:kern w:val="0"/>
          <w:szCs w:val="21"/>
        </w:rPr>
      </w:pPr>
      <w:r>
        <w:rPr>
          <w:rFonts w:hint="eastAsia" w:ascii="黑体" w:hAnsi="黑体" w:eastAsia="黑体" w:cs="Arial"/>
          <w:color w:val="000000"/>
          <w:kern w:val="0"/>
          <w:sz w:val="32"/>
          <w:szCs w:val="32"/>
        </w:rPr>
        <w:t>十一、监督管理</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应聘者、用人单位和有关工作人员违反《广东省事业单位公开招聘人员办法》（省政府第139号令）、《江门市事业单位公开招聘人员实施意见》（江人社发〔2010〕573号），将追究责任。</w:t>
      </w:r>
    </w:p>
    <w:p>
      <w:pPr>
        <w:widowControl/>
        <w:spacing w:line="600" w:lineRule="exact"/>
        <w:ind w:firstLine="645"/>
        <w:jc w:val="left"/>
        <w:rPr>
          <w:rFonts w:ascii="Arial" w:hAnsi="Arial" w:eastAsia="宋体" w:cs="Arial"/>
          <w:color w:val="000000"/>
          <w:kern w:val="0"/>
          <w:szCs w:val="21"/>
        </w:rPr>
      </w:pPr>
      <w:r>
        <w:rPr>
          <w:rFonts w:hint="eastAsia" w:ascii="黑体" w:hAnsi="黑体" w:eastAsia="黑体" w:cs="Arial"/>
          <w:color w:val="000000"/>
          <w:kern w:val="0"/>
          <w:sz w:val="32"/>
          <w:szCs w:val="32"/>
        </w:rPr>
        <w:t>十二、联系方式</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单　位：江门市江海区教育局</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地　址：江门市东海路338号三号楼七楼706室</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政策咨询电话：0750-3861634、3861643（江海区教育局人事股）</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监督投诉电话：0750-3861907（江海区教育局办公室）</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注意：考生在报名时要留2个手机联系电话，若因填写联系电话有误、考生报名后更改电话号码或其他自身原因不能联系到考生的，责任由考生自负；凡参加面试、体检及办理聘用相关手续时，须携带准考证和身份证原件。</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附件：1.2019年上半年广东省江门市江海区教师公开招聘岗位表</w:t>
      </w:r>
    </w:p>
    <w:p>
      <w:pPr>
        <w:widowControl/>
        <w:spacing w:line="600" w:lineRule="exact"/>
        <w:ind w:firstLine="645"/>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       2. 2019年上半年广东省江门市江海区教师公开招聘院校名单</w:t>
      </w:r>
    </w:p>
    <w:p>
      <w:pPr>
        <w:widowControl/>
        <w:spacing w:line="600" w:lineRule="exact"/>
        <w:ind w:firstLine="1280" w:firstLineChars="400"/>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3.江门高新区（江海区）教育简介</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     4.江门市江海区事业单位公开招聘人员报名表</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      5.应聘人员信息表</w:t>
      </w:r>
    </w:p>
    <w:p>
      <w:pPr>
        <w:widowControl/>
        <w:spacing w:line="600" w:lineRule="exact"/>
        <w:ind w:firstLine="1280" w:firstLineChars="400"/>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6.广东省2018年考试录用公务员专业参考目录</w:t>
      </w:r>
    </w:p>
    <w:p>
      <w:pPr>
        <w:widowControl/>
        <w:spacing w:line="600" w:lineRule="exact"/>
        <w:ind w:firstLine="735" w:firstLineChars="350"/>
        <w:jc w:val="left"/>
        <w:rPr>
          <w:rFonts w:ascii="Arial" w:hAnsi="Arial" w:eastAsia="宋体" w:cs="Arial"/>
          <w:color w:val="000000"/>
          <w:kern w:val="0"/>
          <w:szCs w:val="21"/>
        </w:rPr>
      </w:pPr>
    </w:p>
    <w:p>
      <w:pPr>
        <w:widowControl/>
        <w:spacing w:line="600" w:lineRule="atLeast"/>
        <w:jc w:val="center"/>
        <w:rPr>
          <w:rFonts w:ascii="Arial" w:hAnsi="Arial" w:eastAsia="宋体" w:cs="Arial"/>
          <w:color w:val="000000"/>
          <w:kern w:val="0"/>
          <w:szCs w:val="21"/>
        </w:rPr>
      </w:pPr>
      <w:r>
        <w:rPr>
          <w:rFonts w:hint="eastAsia" w:ascii="仿宋_GB2312" w:hAnsi="Arial" w:eastAsia="仿宋_GB2312" w:cs="Arial"/>
          <w:color w:val="000000"/>
          <w:kern w:val="0"/>
          <w:sz w:val="32"/>
          <w:szCs w:val="32"/>
        </w:rPr>
        <w:t>中共江门市江海区委组织部       江门市江海区教育局</w:t>
      </w:r>
    </w:p>
    <w:p>
      <w:pPr>
        <w:widowControl/>
        <w:spacing w:line="600" w:lineRule="atLeast"/>
        <w:jc w:val="center"/>
        <w:rPr>
          <w:rFonts w:ascii="仿宋_GB2312" w:hAnsi="Arial" w:eastAsia="仿宋_GB2312" w:cs="Arial"/>
          <w:color w:val="000000"/>
          <w:kern w:val="0"/>
          <w:sz w:val="32"/>
          <w:szCs w:val="32"/>
        </w:rPr>
      </w:pPr>
    </w:p>
    <w:p>
      <w:pPr>
        <w:widowControl/>
        <w:spacing w:line="600" w:lineRule="atLeast"/>
        <w:jc w:val="center"/>
      </w:pPr>
      <w:r>
        <w:rPr>
          <w:rFonts w:hint="eastAsia" w:ascii="仿宋_GB2312" w:hAnsi="Arial" w:eastAsia="仿宋_GB2312" w:cs="Arial"/>
          <w:color w:val="000000"/>
          <w:kern w:val="0"/>
          <w:sz w:val="32"/>
          <w:szCs w:val="32"/>
        </w:rPr>
        <w:t>2019年2月3日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C9"/>
    <w:rsid w:val="0003720A"/>
    <w:rsid w:val="000376C1"/>
    <w:rsid w:val="004945C9"/>
    <w:rsid w:val="004C7F7C"/>
    <w:rsid w:val="008B2E6E"/>
    <w:rsid w:val="00CB624F"/>
    <w:rsid w:val="00FB7939"/>
    <w:rsid w:val="74FC7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873</Words>
  <Characters>4979</Characters>
  <Lines>41</Lines>
  <Paragraphs>11</Paragraphs>
  <TotalTime>3</TotalTime>
  <ScaleCrop>false</ScaleCrop>
  <LinksUpToDate>false</LinksUpToDate>
  <CharactersWithSpaces>5841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2019-02-11T02:27:00Z</dcterms:created>
  <dc:creator>AutoBVT</dc:creator>
  <cp:lastModifiedBy>Administrator</cp:lastModifiedBy>
  <cp:lastPrinted>2019-05-06T02:08:16Z</cp:lastPrinted>
  <dcterms:modified xsi:type="dcterms:W3CDTF">2019-05-06T02:08:33Z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